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3007E" w14:textId="77777777" w:rsidR="00FE25FF" w:rsidRPr="00E30F42" w:rsidRDefault="00FE25FF" w:rsidP="00FE25FF">
      <w:pPr>
        <w:spacing w:after="0" w:line="240" w:lineRule="auto"/>
        <w:jc w:val="right"/>
        <w:rPr>
          <w:rFonts w:ascii="Times New Roman" w:hAnsi="Times New Roman" w:cs="Times New Roman"/>
          <w:sz w:val="24"/>
          <w:szCs w:val="24"/>
        </w:rPr>
      </w:pPr>
      <w:r w:rsidRPr="00E30F42">
        <w:rPr>
          <w:rFonts w:ascii="Times New Roman" w:hAnsi="Times New Roman" w:cs="Times New Roman"/>
          <w:sz w:val="24"/>
          <w:szCs w:val="24"/>
          <w:lang w:val="mn-MN"/>
        </w:rPr>
        <w:t>Я.Отгонбаяр</w:t>
      </w:r>
      <w:r>
        <w:rPr>
          <w:rFonts w:ascii="Times New Roman" w:hAnsi="Times New Roman" w:cs="Times New Roman"/>
          <w:sz w:val="24"/>
          <w:szCs w:val="24"/>
          <w:lang w:val="mn-MN"/>
        </w:rPr>
        <w:t xml:space="preserve">. </w:t>
      </w:r>
      <w:r w:rsidRPr="00E30F42">
        <w:rPr>
          <w:rFonts w:ascii="Times New Roman" w:hAnsi="Times New Roman" w:cs="Times New Roman"/>
          <w:sz w:val="24"/>
          <w:szCs w:val="24"/>
          <w:lang w:val="mn-MN"/>
        </w:rPr>
        <w:t xml:space="preserve"> доктор </w:t>
      </w:r>
      <w:r w:rsidRPr="00E30F42">
        <w:rPr>
          <w:rFonts w:ascii="Times New Roman" w:hAnsi="Times New Roman" w:cs="Times New Roman"/>
          <w:sz w:val="24"/>
          <w:szCs w:val="24"/>
        </w:rPr>
        <w:t>(</w:t>
      </w:r>
      <w:proofErr w:type="spellStart"/>
      <w:r w:rsidRPr="00E30F42">
        <w:rPr>
          <w:rFonts w:ascii="Times New Roman" w:hAnsi="Times New Roman" w:cs="Times New Roman"/>
          <w:sz w:val="24"/>
          <w:szCs w:val="24"/>
        </w:rPr>
        <w:t>Ph.D</w:t>
      </w:r>
      <w:proofErr w:type="spellEnd"/>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w:t>
      </w:r>
    </w:p>
    <w:p w14:paraId="6306BB9C" w14:textId="77777777" w:rsidR="00FE25FF" w:rsidRPr="00E30F42" w:rsidRDefault="00FE25FF" w:rsidP="00FE25FF">
      <w:pPr>
        <w:spacing w:after="0" w:line="240" w:lineRule="auto"/>
        <w:jc w:val="right"/>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МУИС,ШУС-ийн Социологи,Нийгмийн ажлын тэнхийн  багш </w:t>
      </w:r>
    </w:p>
    <w:p w14:paraId="145847B6" w14:textId="77777777" w:rsidR="00FE25FF" w:rsidRPr="00E30F42" w:rsidRDefault="00FE25FF" w:rsidP="00FE25FF">
      <w:pPr>
        <w:spacing w:line="240" w:lineRule="auto"/>
        <w:jc w:val="right"/>
        <w:rPr>
          <w:rFonts w:ascii="Times New Roman" w:hAnsi="Times New Roman" w:cs="Times New Roman"/>
          <w:sz w:val="24"/>
          <w:szCs w:val="24"/>
        </w:rPr>
      </w:pPr>
    </w:p>
    <w:p w14:paraId="19C3C425" w14:textId="77777777" w:rsidR="00FE25FF" w:rsidRDefault="00FE25FF" w:rsidP="00FE25FF">
      <w:pPr>
        <w:spacing w:line="240" w:lineRule="auto"/>
        <w:jc w:val="center"/>
        <w:rPr>
          <w:rFonts w:ascii="Times New Roman" w:hAnsi="Times New Roman" w:cs="Times New Roman"/>
          <w:b/>
          <w:i/>
          <w:sz w:val="24"/>
          <w:szCs w:val="24"/>
          <w:lang w:val="mn-MN"/>
        </w:rPr>
      </w:pPr>
      <w:r w:rsidRPr="00616526">
        <w:rPr>
          <w:rFonts w:ascii="Times New Roman" w:hAnsi="Times New Roman" w:cs="Times New Roman"/>
          <w:b/>
          <w:caps/>
          <w:sz w:val="24"/>
          <w:szCs w:val="24"/>
          <w:lang w:val="mn-MN"/>
        </w:rPr>
        <w:t>Их дээд сургуулийн багшийн хөгжлийн үнэлгээ: харьцуулсан судалгаа</w:t>
      </w:r>
    </w:p>
    <w:p w14:paraId="06488DAC" w14:textId="77777777" w:rsidR="00FE25FF" w:rsidRPr="00E30F42" w:rsidRDefault="00FE25FF" w:rsidP="00FE25FF">
      <w:pPr>
        <w:spacing w:line="240" w:lineRule="auto"/>
        <w:jc w:val="both"/>
        <w:rPr>
          <w:rFonts w:ascii="Times New Roman" w:hAnsi="Times New Roman" w:cs="Times New Roman"/>
          <w:i/>
          <w:sz w:val="24"/>
          <w:szCs w:val="24"/>
          <w:lang w:val="mn-MN"/>
        </w:rPr>
      </w:pPr>
      <w:r w:rsidRPr="00E30F42">
        <w:rPr>
          <w:rFonts w:ascii="Times New Roman" w:hAnsi="Times New Roman" w:cs="Times New Roman"/>
          <w:b/>
          <w:i/>
          <w:sz w:val="24"/>
          <w:szCs w:val="24"/>
        </w:rPr>
        <w:t>Abstract:</w:t>
      </w:r>
      <w:r w:rsidRPr="00E30F42">
        <w:rPr>
          <w:rFonts w:ascii="Times New Roman" w:hAnsi="Times New Roman" w:cs="Times New Roman"/>
          <w:sz w:val="24"/>
          <w:szCs w:val="24"/>
        </w:rPr>
        <w:t xml:space="preserve"> </w:t>
      </w:r>
      <w:r w:rsidRPr="00E30F42">
        <w:rPr>
          <w:rFonts w:ascii="Times New Roman" w:hAnsi="Times New Roman" w:cs="Times New Roman"/>
          <w:i/>
          <w:sz w:val="24"/>
          <w:szCs w:val="24"/>
        </w:rPr>
        <w:t>Today, the knowledge-based economy, creating wealth, the main mechanism for its implementation and relationship education institutes are talking very strongly about.</w:t>
      </w:r>
      <w:r w:rsidRPr="00E30F42">
        <w:rPr>
          <w:rFonts w:ascii="Times New Roman" w:hAnsi="Times New Roman" w:cs="Times New Roman"/>
          <w:i/>
          <w:sz w:val="24"/>
          <w:szCs w:val="24"/>
          <w:lang w:val="mn-MN"/>
        </w:rPr>
        <w:t xml:space="preserve"> Innovation and new technologies from universities, research institutions, research based, industry started paying attention to.   It is pleased to meet the needs of modern society, but the beginning of the process, the implementation of these goals legal, policy and operational environment and conditions, consisting of higher education</w:t>
      </w:r>
      <w:r w:rsidRPr="00E30F42">
        <w:rPr>
          <w:rFonts w:ascii="Times New Roman" w:hAnsi="Times New Roman" w:cs="Times New Roman"/>
          <w:i/>
          <w:sz w:val="24"/>
          <w:szCs w:val="24"/>
        </w:rPr>
        <w:t>.</w:t>
      </w:r>
      <w:r w:rsidRPr="00E30F42">
        <w:rPr>
          <w:rFonts w:ascii="Times New Roman" w:hAnsi="Times New Roman" w:cs="Times New Roman"/>
          <w:i/>
          <w:sz w:val="24"/>
          <w:szCs w:val="24"/>
          <w:lang w:val="mn-MN"/>
        </w:rPr>
        <w:t xml:space="preserve"> Especially in university teaching research and analysis of conditions for fair and optimize its assessment methodology is not mature enough communication is one of the issues to be addressed for higher education. Therefore, </w:t>
      </w:r>
      <w:r w:rsidRPr="00E30F42">
        <w:rPr>
          <w:rFonts w:ascii="Times New Roman" w:hAnsi="Times New Roman" w:cs="Times New Roman"/>
          <w:i/>
          <w:sz w:val="24"/>
          <w:szCs w:val="24"/>
        </w:rPr>
        <w:t xml:space="preserve"> faculty member</w:t>
      </w:r>
      <w:r w:rsidRPr="00E30F42">
        <w:rPr>
          <w:rFonts w:ascii="Times New Roman" w:hAnsi="Times New Roman" w:cs="Times New Roman"/>
          <w:i/>
          <w:sz w:val="24"/>
          <w:szCs w:val="24"/>
          <w:vertAlign w:val="superscript"/>
        </w:rPr>
        <w:t>’</w:t>
      </w:r>
      <w:r w:rsidRPr="00E30F42">
        <w:rPr>
          <w:rFonts w:ascii="Times New Roman" w:hAnsi="Times New Roman" w:cs="Times New Roman"/>
          <w:i/>
          <w:sz w:val="24"/>
          <w:szCs w:val="24"/>
        </w:rPr>
        <w:t>s</w:t>
      </w:r>
      <w:r w:rsidRPr="00E30F42">
        <w:rPr>
          <w:rFonts w:ascii="Times New Roman" w:hAnsi="Times New Roman" w:cs="Times New Roman"/>
          <w:i/>
          <w:sz w:val="24"/>
          <w:szCs w:val="24"/>
          <w:lang w:val="mn-MN"/>
        </w:rPr>
        <w:t xml:space="preserve"> the opportunity to study and evaluate  considered to compare the experiences of some countries.</w:t>
      </w:r>
    </w:p>
    <w:p w14:paraId="286FA4E0" w14:textId="77777777" w:rsidR="00FE25FF" w:rsidRPr="00E30F42" w:rsidRDefault="00FE25FF" w:rsidP="00FE25FF">
      <w:pPr>
        <w:tabs>
          <w:tab w:val="left" w:pos="1440"/>
        </w:tabs>
        <w:spacing w:line="240" w:lineRule="auto"/>
        <w:jc w:val="both"/>
        <w:rPr>
          <w:rFonts w:ascii="Times New Roman" w:hAnsi="Times New Roman" w:cs="Times New Roman"/>
          <w:i/>
          <w:sz w:val="24"/>
          <w:szCs w:val="24"/>
          <w:lang w:val="mn-MN"/>
        </w:rPr>
      </w:pPr>
      <w:r w:rsidRPr="00E30F42">
        <w:rPr>
          <w:rFonts w:ascii="Times New Roman" w:hAnsi="Times New Roman" w:cs="Times New Roman"/>
          <w:b/>
          <w:i/>
          <w:sz w:val="24"/>
          <w:szCs w:val="24"/>
        </w:rPr>
        <w:t>Keywords:</w:t>
      </w:r>
      <w:r w:rsidRPr="00E30F42">
        <w:rPr>
          <w:rFonts w:ascii="Times New Roman" w:hAnsi="Times New Roman" w:cs="Times New Roman"/>
          <w:i/>
          <w:sz w:val="24"/>
          <w:szCs w:val="24"/>
          <w:lang w:val="mn-MN"/>
        </w:rPr>
        <w:t xml:space="preserve"> </w:t>
      </w:r>
      <w:r w:rsidRPr="00E30F42">
        <w:rPr>
          <w:rFonts w:ascii="Times New Roman" w:hAnsi="Times New Roman" w:cs="Times New Roman"/>
          <w:i/>
          <w:sz w:val="24"/>
          <w:szCs w:val="24"/>
        </w:rPr>
        <w:t xml:space="preserve">innovation, </w:t>
      </w:r>
      <w:r w:rsidRPr="00E30F42">
        <w:rPr>
          <w:rFonts w:ascii="Times New Roman" w:hAnsi="Times New Roman" w:cs="Times New Roman"/>
          <w:i/>
          <w:sz w:val="24"/>
          <w:szCs w:val="24"/>
          <w:lang w:val="mn-MN"/>
        </w:rPr>
        <w:t xml:space="preserve"> </w:t>
      </w:r>
      <w:r w:rsidRPr="00E30F42">
        <w:rPr>
          <w:rFonts w:ascii="Times New Roman" w:hAnsi="Times New Roman" w:cs="Times New Roman"/>
          <w:i/>
          <w:sz w:val="24"/>
          <w:szCs w:val="24"/>
        </w:rPr>
        <w:t>faculty member, higher education, research, knowledge.</w:t>
      </w:r>
    </w:p>
    <w:p w14:paraId="5E14F15A" w14:textId="77777777" w:rsidR="00FE25FF" w:rsidRPr="00E30F42" w:rsidRDefault="00FE25FF" w:rsidP="00FE25FF">
      <w:pPr>
        <w:pStyle w:val="ListParagraph"/>
        <w:numPr>
          <w:ilvl w:val="0"/>
          <w:numId w:val="10"/>
        </w:numPr>
        <w:tabs>
          <w:tab w:val="left" w:pos="1440"/>
        </w:tabs>
        <w:spacing w:line="240" w:lineRule="auto"/>
        <w:jc w:val="both"/>
        <w:rPr>
          <w:rFonts w:eastAsia="FreeSerif" w:cs="Times New Roman"/>
          <w:szCs w:val="24"/>
          <w:lang w:val="mn-MN"/>
        </w:rPr>
      </w:pPr>
      <w:r w:rsidRPr="00E30F42">
        <w:rPr>
          <w:rFonts w:eastAsia="FreeSerif" w:cs="Times New Roman"/>
          <w:szCs w:val="24"/>
          <w:lang w:val="mn-MN"/>
        </w:rPr>
        <w:t>Багшийн хөгжил, түүнд нөлөөлөгч хүчин зүйл</w:t>
      </w:r>
    </w:p>
    <w:p w14:paraId="647BEA93" w14:textId="77777777" w:rsidR="00FE25FF" w:rsidRPr="00E30F42" w:rsidRDefault="00FE25FF" w:rsidP="00FE25FF">
      <w:pPr>
        <w:tabs>
          <w:tab w:val="left" w:pos="1440"/>
        </w:tabs>
        <w:spacing w:line="240" w:lineRule="auto"/>
        <w:ind w:firstLine="720"/>
        <w:jc w:val="both"/>
        <w:rPr>
          <w:rFonts w:ascii="Times New Roman" w:eastAsia="FreeSerif" w:hAnsi="Times New Roman" w:cs="Times New Roman"/>
          <w:sz w:val="24"/>
          <w:szCs w:val="24"/>
          <w:lang w:val="mn-MN"/>
        </w:rPr>
      </w:pPr>
      <w:r w:rsidRPr="00E30F42">
        <w:rPr>
          <w:rFonts w:ascii="Times New Roman" w:eastAsia="FreeSerif" w:hAnsi="Times New Roman" w:cs="Times New Roman"/>
          <w:sz w:val="24"/>
          <w:szCs w:val="24"/>
          <w:lang w:val="mn-MN"/>
        </w:rPr>
        <w:t>Б</w:t>
      </w:r>
      <w:proofErr w:type="spellStart"/>
      <w:r w:rsidRPr="00E30F42">
        <w:rPr>
          <w:rFonts w:ascii="Times New Roman" w:eastAsia="FreeSerif" w:hAnsi="Times New Roman" w:cs="Times New Roman"/>
          <w:sz w:val="24"/>
          <w:szCs w:val="24"/>
        </w:rPr>
        <w:t>идний</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гадаад</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хүрээлэл</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дэлхий</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дахинд</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томоохон</w:t>
      </w:r>
      <w:proofErr w:type="spellEnd"/>
      <w:r w:rsidRPr="00E30F42">
        <w:rPr>
          <w:rFonts w:ascii="Times New Roman" w:eastAsia="FreeSerif" w:hAnsi="Times New Roman" w:cs="Times New Roman"/>
          <w:sz w:val="24"/>
          <w:szCs w:val="24"/>
          <w:lang w:val="mn-MN"/>
        </w:rPr>
        <w:t xml:space="preserve"> </w:t>
      </w:r>
      <w:proofErr w:type="spellStart"/>
      <w:r w:rsidRPr="00E30F42">
        <w:rPr>
          <w:rFonts w:ascii="Times New Roman" w:eastAsia="FreeSerif" w:hAnsi="Times New Roman" w:cs="Times New Roman"/>
          <w:sz w:val="24"/>
          <w:szCs w:val="24"/>
        </w:rPr>
        <w:t>өөрчлөлт</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хөдөлгөөн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эрчимтэй</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өрнө</w:t>
      </w:r>
      <w:proofErr w:type="spellEnd"/>
      <w:r w:rsidRPr="00E30F42">
        <w:rPr>
          <w:rFonts w:ascii="Times New Roman" w:eastAsia="FreeSerif" w:hAnsi="Times New Roman" w:cs="Times New Roman"/>
          <w:sz w:val="24"/>
          <w:szCs w:val="24"/>
          <w:lang w:val="mn-MN"/>
        </w:rPr>
        <w:t>ж,</w:t>
      </w:r>
      <w:r w:rsidRPr="00E30F42">
        <w:rPr>
          <w:rFonts w:ascii="Times New Roman" w:eastAsia="FreeSerif" w:hAnsi="Times New Roman" w:cs="Times New Roman"/>
          <w:sz w:val="24"/>
          <w:szCs w:val="24"/>
        </w:rPr>
        <w:t xml:space="preserve"> </w:t>
      </w:r>
      <w:r w:rsidRPr="00E30F42">
        <w:rPr>
          <w:rFonts w:ascii="Times New Roman" w:eastAsia="FreeSerif" w:hAnsi="Times New Roman" w:cs="Times New Roman"/>
          <w:sz w:val="24"/>
          <w:szCs w:val="24"/>
          <w:lang w:val="mn-MN"/>
        </w:rPr>
        <w:t>т</w:t>
      </w:r>
      <w:proofErr w:type="spellStart"/>
      <w:r w:rsidRPr="00E30F42">
        <w:rPr>
          <w:rFonts w:ascii="Times New Roman" w:eastAsia="FreeSerif" w:hAnsi="Times New Roman" w:cs="Times New Roman"/>
          <w:sz w:val="24"/>
          <w:szCs w:val="24"/>
        </w:rPr>
        <w:t>овчоор</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хэлбэл</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бид</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өнөөдөр</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дэлхий</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нийтээрээ</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ашиг</w:t>
      </w:r>
      <w:proofErr w:type="spellEnd"/>
      <w:r w:rsidRPr="00E30F42">
        <w:rPr>
          <w:rFonts w:ascii="Times New Roman" w:eastAsia="FreeSerif" w:hAnsi="Times New Roman" w:cs="Times New Roman"/>
          <w:sz w:val="24"/>
          <w:szCs w:val="24"/>
          <w:lang w:val="mn-MN"/>
        </w:rPr>
        <w:t xml:space="preserve"> </w:t>
      </w:r>
      <w:proofErr w:type="spellStart"/>
      <w:r w:rsidRPr="00E30F42">
        <w:rPr>
          <w:rFonts w:ascii="Times New Roman" w:eastAsia="FreeSerif" w:hAnsi="Times New Roman" w:cs="Times New Roman"/>
          <w:sz w:val="24"/>
          <w:szCs w:val="24"/>
        </w:rPr>
        <w:t>сонирхол</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хувь</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заяагаараа</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холбогдон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даяаршин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байгаа</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нөхцөлд</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аж</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төрж</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байна</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Энэ</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бол</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хүн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төрөлхтний</w:t>
      </w:r>
      <w:proofErr w:type="spellEnd"/>
      <w:r w:rsidRPr="00E30F42">
        <w:rPr>
          <w:rFonts w:ascii="Times New Roman" w:eastAsia="FreeSerif" w:hAnsi="Times New Roman" w:cs="Times New Roman"/>
          <w:sz w:val="24"/>
          <w:szCs w:val="24"/>
          <w:lang w:val="mn-MN"/>
        </w:rPr>
        <w:t xml:space="preserve"> </w:t>
      </w:r>
      <w:proofErr w:type="spellStart"/>
      <w:r w:rsidRPr="00E30F42">
        <w:rPr>
          <w:rFonts w:ascii="Times New Roman" w:eastAsia="FreeSerif" w:hAnsi="Times New Roman" w:cs="Times New Roman"/>
          <w:sz w:val="24"/>
          <w:szCs w:val="24"/>
        </w:rPr>
        <w:t>өөрсдийн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бүтээж</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буй</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болгосон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хөгжил</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дэвшлийн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үр</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дүнд</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амьдралын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хэмнэл</w:t>
      </w:r>
      <w:proofErr w:type="spellEnd"/>
      <w:r w:rsidRPr="00E30F42">
        <w:rPr>
          <w:rFonts w:ascii="Times New Roman" w:eastAsia="FreeSerif" w:hAnsi="Times New Roman" w:cs="Times New Roman"/>
          <w:sz w:val="24"/>
          <w:szCs w:val="24"/>
        </w:rPr>
        <w:t xml:space="preserve"> ч </w:t>
      </w:r>
      <w:proofErr w:type="spellStart"/>
      <w:r w:rsidRPr="00E30F42">
        <w:rPr>
          <w:rFonts w:ascii="Times New Roman" w:eastAsia="FreeSerif" w:hAnsi="Times New Roman" w:cs="Times New Roman"/>
          <w:sz w:val="24"/>
          <w:szCs w:val="24"/>
        </w:rPr>
        <w:t>түргэсэн</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хурдассаны</w:t>
      </w:r>
      <w:proofErr w:type="spellEnd"/>
      <w:r w:rsidRPr="00E30F42">
        <w:rPr>
          <w:rFonts w:ascii="Times New Roman" w:eastAsia="FreeSerif" w:hAnsi="Times New Roman" w:cs="Times New Roman"/>
          <w:sz w:val="24"/>
          <w:szCs w:val="24"/>
        </w:rPr>
        <w:t xml:space="preserve"> </w:t>
      </w:r>
      <w:proofErr w:type="spellStart"/>
      <w:r w:rsidRPr="00E30F42">
        <w:rPr>
          <w:rFonts w:ascii="Times New Roman" w:eastAsia="FreeSerif" w:hAnsi="Times New Roman" w:cs="Times New Roman"/>
          <w:sz w:val="24"/>
          <w:szCs w:val="24"/>
        </w:rPr>
        <w:t>гэрч</w:t>
      </w:r>
      <w:proofErr w:type="spellEnd"/>
      <w:r w:rsidRPr="00E30F42">
        <w:rPr>
          <w:rFonts w:ascii="Times New Roman" w:eastAsia="FreeSerif" w:hAnsi="Times New Roman" w:cs="Times New Roman"/>
          <w:sz w:val="24"/>
          <w:szCs w:val="24"/>
          <w:lang w:val="mn-MN"/>
        </w:rPr>
        <w:t xml:space="preserve"> </w:t>
      </w:r>
      <w:proofErr w:type="spellStart"/>
      <w:r w:rsidRPr="00E30F42">
        <w:rPr>
          <w:rFonts w:ascii="Times New Roman" w:eastAsia="FreeSerif" w:hAnsi="Times New Roman" w:cs="Times New Roman"/>
          <w:sz w:val="24"/>
          <w:szCs w:val="24"/>
        </w:rPr>
        <w:t>юм</w:t>
      </w:r>
      <w:proofErr w:type="spellEnd"/>
      <w:r w:rsidRPr="00E30F42">
        <w:rPr>
          <w:rFonts w:ascii="Times New Roman" w:eastAsia="FreeSerif" w:hAnsi="Times New Roman" w:cs="Times New Roman"/>
          <w:sz w:val="24"/>
          <w:szCs w:val="24"/>
        </w:rPr>
        <w:t>.</w:t>
      </w:r>
      <w:r w:rsidRPr="00E30F42">
        <w:rPr>
          <w:rFonts w:ascii="Times New Roman" w:eastAsia="FreeSerif" w:hAnsi="Times New Roman" w:cs="Times New Roman"/>
          <w:sz w:val="24"/>
          <w:szCs w:val="24"/>
          <w:lang w:val="mn-MN"/>
        </w:rPr>
        <w:t xml:space="preserve"> Энэ их хурдтай амьдралын хөдөлгөгч хүч нь эрдэм боловсрол бүхий  нийгмийн гишүүд.  Нийгмийн гишүүдийг боловсролтой, соёлтой болгож төлөвшүүлэх үүргийг бүх шатны боловсролын инститүцүүд өөртөө хүлээсэн байдаг. </w:t>
      </w:r>
    </w:p>
    <w:p w14:paraId="00E3044A" w14:textId="77777777" w:rsidR="00FE25FF" w:rsidRPr="00E30F42" w:rsidRDefault="00FE25FF" w:rsidP="00FE25FF">
      <w:pPr>
        <w:tabs>
          <w:tab w:val="left" w:pos="1440"/>
        </w:tabs>
        <w:spacing w:line="240" w:lineRule="auto"/>
        <w:jc w:val="both"/>
        <w:rPr>
          <w:rFonts w:ascii="Times New Roman" w:eastAsia="FreeSerif" w:hAnsi="Times New Roman" w:cs="Times New Roman"/>
          <w:color w:val="FF0000"/>
          <w:sz w:val="24"/>
          <w:szCs w:val="24"/>
          <w:lang w:val="mn-MN"/>
        </w:rPr>
      </w:pPr>
      <w:r w:rsidRPr="00E30F42">
        <w:rPr>
          <w:rFonts w:ascii="Times New Roman" w:eastAsia="FreeSerif" w:hAnsi="Times New Roman" w:cs="Times New Roman"/>
          <w:sz w:val="24"/>
          <w:szCs w:val="24"/>
          <w:lang w:val="mn-MN"/>
        </w:rPr>
        <w:t xml:space="preserve"> Боловсролын байгууллагууд, тухайлбал дээд боловсролын байгууллагуудын сургалт хүмүүжлийн үйл ажиллагаа, түүний чанар,  нийгмийн хөгжлийн шаардлагад хэр нийцэж байгаа,  багш нарын мэдлэг боловсрол, ур чадвар ямар түвшинд байна, багш нарт  мэдлэг боловсролоо дээшлүүлэх, хөгжих боловсрох нөхцөл боломж, дэмжлэг  байгаа эсэх нь  судлаачдын анхаарыг татсаар байна.  </w:t>
      </w:r>
    </w:p>
    <w:p w14:paraId="20283A2A" w14:textId="77777777" w:rsidR="00FE25FF" w:rsidRPr="00E30F42" w:rsidRDefault="00FE25FF" w:rsidP="00FE25FF">
      <w:pPr>
        <w:tabs>
          <w:tab w:val="left" w:pos="1440"/>
        </w:tabs>
        <w:spacing w:line="240" w:lineRule="auto"/>
        <w:ind w:firstLine="720"/>
        <w:jc w:val="both"/>
        <w:rPr>
          <w:rFonts w:ascii="Times New Roman" w:eastAsia="FreeSerif" w:hAnsi="Times New Roman" w:cs="Times New Roman"/>
          <w:sz w:val="24"/>
          <w:szCs w:val="24"/>
          <w:lang w:val="mn-MN"/>
        </w:rPr>
      </w:pPr>
      <w:r w:rsidRPr="00E30F42">
        <w:rPr>
          <w:rFonts w:ascii="Times New Roman" w:hAnsi="Times New Roman" w:cs="Times New Roman"/>
          <w:sz w:val="24"/>
          <w:szCs w:val="24"/>
          <w:lang w:val="mn-MN"/>
        </w:rPr>
        <w:t xml:space="preserve">Багшийн хөгжил нь нэг талаас багшийн бие бялдар, оюун ухаан, сэтгэлийн  нэгдэл буюу эрүүл мэнд, танин мэдэхүй, ёс зүй, сэтгэцийн төлөвшилд  гарч байгаа чанарын өөрчлөлт нөгөө талаас багшийн мэргэжлийн шинж чанарын нэгдэл, эдгээрийн хөгжилтэй холбоо бүхий ойлголт гэдгийг судлаачид тодорхойлсоор байгаа. Багшийн хөгжил нь нас, хүйс, ажилласан жилээс хамааран өөр хурдтай, дотоод нарийн зохион байгуулалтай, орчноо өөрчлөн хувиргах шинжтэй, дотоод гадаад олон хүчин зүйлээс шалтгаалах цогц үйл ажиллагаа гэдэг нь ч харагдаж байна.  </w:t>
      </w:r>
    </w:p>
    <w:p w14:paraId="424C2856" w14:textId="77777777" w:rsidR="00FE25FF" w:rsidRPr="00E30F42" w:rsidRDefault="00FE25FF" w:rsidP="00FE25FF">
      <w:pPr>
        <w:tabs>
          <w:tab w:val="left" w:pos="1440"/>
        </w:tabs>
        <w:spacing w:line="240" w:lineRule="auto"/>
        <w:ind w:firstLine="630"/>
        <w:jc w:val="both"/>
        <w:rPr>
          <w:rFonts w:ascii="Times New Roman" w:hAnsi="Times New Roman" w:cs="Times New Roman"/>
          <w:sz w:val="24"/>
          <w:szCs w:val="24"/>
        </w:rPr>
      </w:pPr>
      <w:r w:rsidRPr="00E30F42">
        <w:rPr>
          <w:rFonts w:ascii="Times New Roman" w:hAnsi="Times New Roman" w:cs="Times New Roman"/>
          <w:sz w:val="24"/>
          <w:szCs w:val="24"/>
          <w:lang w:val="mn-MN"/>
        </w:rPr>
        <w:t xml:space="preserve">Багшийн хөгжил гэсэн асуудлыг боловсрол судлал, сэтгэл судлал, боловсролын философи гээд олон шинжлэх ухаан судлаж байгаа боловч социологийн шинжлэх ухаан түүнийг социаль харилцаа, социаль хүчин зүйлтэй холбон авч үздэгээрээ онцлог юм. Өөрөөр хэлбэл нийгмийн болон хүрээлэн байгаа орчин багшийн хөгжлийг бүх талаар дэмжигч байх ёстой. </w:t>
      </w:r>
    </w:p>
    <w:p w14:paraId="7EB450BB" w14:textId="77777777" w:rsidR="00FE25FF" w:rsidRPr="00E30F42" w:rsidRDefault="00FE25FF" w:rsidP="00FE25FF">
      <w:pPr>
        <w:tabs>
          <w:tab w:val="left" w:pos="1440"/>
        </w:tabs>
        <w:spacing w:line="240" w:lineRule="auto"/>
        <w:ind w:firstLine="63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lastRenderedPageBreak/>
        <w:t>Багшийн хөгжил нь олон талт цогц үйл ажиллагаа учир багшийн хөгжлийг дараах хоёр түвшинд авч үзэж болох юм.  Үүнд:</w:t>
      </w:r>
    </w:p>
    <w:p w14:paraId="668A043A" w14:textId="77777777" w:rsidR="00FE25FF" w:rsidRPr="00E30F42" w:rsidRDefault="00FE25FF" w:rsidP="00FE25FF">
      <w:pPr>
        <w:numPr>
          <w:ilvl w:val="0"/>
          <w:numId w:val="2"/>
        </w:numPr>
        <w:tabs>
          <w:tab w:val="left" w:pos="1080"/>
        </w:tabs>
        <w:spacing w:after="0" w:line="240" w:lineRule="auto"/>
        <w:ind w:left="0" w:firstLine="720"/>
        <w:jc w:val="both"/>
        <w:rPr>
          <w:rFonts w:ascii="Times New Roman" w:hAnsi="Times New Roman" w:cs="Times New Roman"/>
          <w:i/>
          <w:sz w:val="24"/>
          <w:szCs w:val="24"/>
          <w:lang w:val="mn-MN"/>
        </w:rPr>
      </w:pPr>
      <w:r w:rsidRPr="00E30F42">
        <w:rPr>
          <w:rFonts w:ascii="Times New Roman" w:hAnsi="Times New Roman" w:cs="Times New Roman"/>
          <w:i/>
          <w:sz w:val="24"/>
          <w:szCs w:val="24"/>
          <w:lang w:val="mn-MN"/>
        </w:rPr>
        <w:t>Багшийн социал хөгжил</w:t>
      </w:r>
    </w:p>
    <w:p w14:paraId="57D10D4B" w14:textId="77777777" w:rsidR="00FE25FF" w:rsidRPr="00E30F42" w:rsidRDefault="00FE25FF" w:rsidP="00FE25FF">
      <w:pPr>
        <w:numPr>
          <w:ilvl w:val="0"/>
          <w:numId w:val="2"/>
        </w:numPr>
        <w:tabs>
          <w:tab w:val="left" w:pos="1080"/>
        </w:tabs>
        <w:spacing w:after="0" w:line="240" w:lineRule="auto"/>
        <w:ind w:left="0" w:firstLine="720"/>
        <w:jc w:val="both"/>
        <w:rPr>
          <w:rFonts w:ascii="Times New Roman" w:hAnsi="Times New Roman" w:cs="Times New Roman"/>
          <w:i/>
          <w:sz w:val="24"/>
          <w:szCs w:val="24"/>
          <w:lang w:val="mn-MN"/>
        </w:rPr>
      </w:pPr>
      <w:r w:rsidRPr="00E30F42">
        <w:rPr>
          <w:rFonts w:ascii="Times New Roman" w:hAnsi="Times New Roman" w:cs="Times New Roman"/>
          <w:i/>
          <w:sz w:val="24"/>
          <w:szCs w:val="24"/>
          <w:lang w:val="mn-MN"/>
        </w:rPr>
        <w:t>Багшийн мэргэжлийн  хөгжил</w:t>
      </w:r>
    </w:p>
    <w:p w14:paraId="09F7E97D" w14:textId="77777777" w:rsidR="00FE25FF" w:rsidRPr="00E30F42" w:rsidRDefault="00FE25FF" w:rsidP="00FE25FF">
      <w:pPr>
        <w:tabs>
          <w:tab w:val="left" w:pos="72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i/>
          <w:sz w:val="24"/>
          <w:szCs w:val="24"/>
          <w:lang w:val="mn-MN"/>
        </w:rPr>
        <w:t xml:space="preserve">Багшийн социал хөгжил. </w:t>
      </w:r>
      <w:r w:rsidRPr="00E30F42">
        <w:rPr>
          <w:rFonts w:ascii="Times New Roman" w:hAnsi="Times New Roman" w:cs="Times New Roman"/>
          <w:sz w:val="24"/>
          <w:szCs w:val="24"/>
          <w:lang w:val="mn-MN"/>
        </w:rPr>
        <w:t>Нэг талаас</w:t>
      </w:r>
      <w:r w:rsidRPr="00E30F42">
        <w:rPr>
          <w:rFonts w:ascii="Times New Roman" w:hAnsi="Times New Roman" w:cs="Times New Roman"/>
          <w:b/>
          <w:sz w:val="24"/>
          <w:szCs w:val="24"/>
          <w:lang w:val="mn-MN"/>
        </w:rPr>
        <w:t xml:space="preserve"> </w:t>
      </w:r>
      <w:r w:rsidRPr="00E30F42">
        <w:rPr>
          <w:rFonts w:ascii="Times New Roman" w:hAnsi="Times New Roman" w:cs="Times New Roman"/>
          <w:sz w:val="24"/>
          <w:szCs w:val="24"/>
          <w:lang w:val="mn-MN"/>
        </w:rPr>
        <w:t xml:space="preserve">бие хүний төлөвшил, соёл, зан үйл, сэтгэлгээ, хандлага, сэтгэлзүй, нийгмийн статус, ролийн гүйцэтгэл нь социал харилцаагаар дамжин төгөлдөржих буюу багш нь бие хүн, нийгмийн бүлгийнхээ хувьд хөгжих ёстой. Өөрөөр хэлбэл хөгжих үйл явц тасралтгүй байх шинж. Нөгөө талаас багш нийгмийн баялаг бүтээгч субъект, нийгмийн бүлгийнхээ хувьд хөдөлмөрийн үнэлэмж, цалин, шагнал урамшуулал зэрэг баялгаас хүртэх хэмжээ нь эргээд түүний хөгжлийг дэмжигч байх ёстой. </w:t>
      </w:r>
    </w:p>
    <w:p w14:paraId="06C521D4"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i/>
          <w:sz w:val="24"/>
          <w:szCs w:val="24"/>
          <w:lang w:val="mn-MN"/>
        </w:rPr>
        <w:t>Багшийн мэргэжлийн  хөгжил</w:t>
      </w:r>
      <w:sdt>
        <w:sdtPr>
          <w:rPr>
            <w:rFonts w:ascii="Times New Roman" w:hAnsi="Times New Roman" w:cs="Times New Roman"/>
            <w:i/>
            <w:sz w:val="24"/>
            <w:szCs w:val="24"/>
            <w:lang w:val="mn-MN"/>
          </w:rPr>
          <w:id w:val="1553185394"/>
          <w:citation/>
        </w:sdtPr>
        <w:sdtContent>
          <w:r w:rsidRPr="00E30F42">
            <w:rPr>
              <w:rFonts w:ascii="Times New Roman" w:hAnsi="Times New Roman" w:cs="Times New Roman"/>
              <w:i/>
              <w:sz w:val="24"/>
              <w:szCs w:val="24"/>
              <w:lang w:val="mn-MN"/>
            </w:rPr>
            <w:fldChar w:fldCharType="begin"/>
          </w:r>
          <w:r w:rsidRPr="00E30F42">
            <w:rPr>
              <w:rFonts w:ascii="Times New Roman" w:hAnsi="Times New Roman" w:cs="Times New Roman"/>
              <w:i/>
              <w:sz w:val="24"/>
              <w:szCs w:val="24"/>
              <w:lang w:val="mn-MN"/>
            </w:rPr>
            <w:instrText xml:space="preserve"> CITATION Дав12 \l 1104 </w:instrText>
          </w:r>
          <w:r w:rsidRPr="00E30F42">
            <w:rPr>
              <w:rFonts w:ascii="Times New Roman" w:hAnsi="Times New Roman" w:cs="Times New Roman"/>
              <w:i/>
              <w:sz w:val="24"/>
              <w:szCs w:val="24"/>
              <w:lang w:val="mn-MN"/>
            </w:rPr>
            <w:fldChar w:fldCharType="separate"/>
          </w:r>
          <w:r>
            <w:rPr>
              <w:rFonts w:ascii="Times New Roman" w:hAnsi="Times New Roman" w:cs="Times New Roman"/>
              <w:i/>
              <w:noProof/>
              <w:sz w:val="24"/>
              <w:szCs w:val="24"/>
              <w:lang w:val="mn-MN"/>
            </w:rPr>
            <w:t xml:space="preserve"> </w:t>
          </w:r>
          <w:r w:rsidRPr="00563E92">
            <w:rPr>
              <w:rFonts w:ascii="Times New Roman" w:hAnsi="Times New Roman" w:cs="Times New Roman"/>
              <w:noProof/>
              <w:sz w:val="24"/>
              <w:szCs w:val="24"/>
              <w:lang w:val="mn-MN"/>
            </w:rPr>
            <w:t>(Даваа Ж, ба бусад, 2012)</w:t>
          </w:r>
          <w:r w:rsidRPr="00E30F42">
            <w:rPr>
              <w:rFonts w:ascii="Times New Roman" w:hAnsi="Times New Roman" w:cs="Times New Roman"/>
              <w:i/>
              <w:sz w:val="24"/>
              <w:szCs w:val="24"/>
              <w:lang w:val="mn-MN"/>
            </w:rPr>
            <w:fldChar w:fldCharType="end"/>
          </w:r>
        </w:sdtContent>
      </w:sdt>
      <w:r w:rsidRPr="00E30F42">
        <w:rPr>
          <w:rFonts w:ascii="Times New Roman" w:hAnsi="Times New Roman" w:cs="Times New Roman"/>
          <w:i/>
          <w:sz w:val="24"/>
          <w:szCs w:val="24"/>
          <w:lang w:val="mn-MN"/>
        </w:rPr>
        <w:t xml:space="preserve"> нь</w:t>
      </w:r>
      <w:r w:rsidRPr="00E30F42">
        <w:rPr>
          <w:rFonts w:ascii="Times New Roman" w:hAnsi="Times New Roman" w:cs="Times New Roman"/>
          <w:sz w:val="24"/>
          <w:szCs w:val="24"/>
          <w:lang w:val="mn-MN"/>
        </w:rPr>
        <w:t xml:space="preserve"> тухайн багш мэргэжилтнийхээ хувьд өсөн дэвжих хөгжих, суралцах үйл явц. Багшийн мэргэжлийн хөгжил нь нэг талаас багшийн бие бялдар, оюун ухаан, сэтгэлийн нэгдэл буюу эрүүл мэнд, танин мэдэхүй, ёс зүй, сэтгэлийн төлөвшилд гарч байгаа чанарын өөрчлөлт, нөгөө талаас багшийн мэргэжлийн шинж чанарын нэгдэл, эдгээрийн хөгжилтэй холбоо бүхий ойлголт. </w:t>
      </w:r>
    </w:p>
    <w:p w14:paraId="53AF6515" w14:textId="77777777" w:rsidR="00FE25FF" w:rsidRPr="00E30F42" w:rsidRDefault="00FE25FF" w:rsidP="00FE25FF">
      <w:pPr>
        <w:tabs>
          <w:tab w:val="left" w:pos="1440"/>
        </w:tabs>
        <w:spacing w:line="240" w:lineRule="auto"/>
        <w:ind w:firstLine="360"/>
        <w:rPr>
          <w:rFonts w:ascii="Times New Roman" w:hAnsi="Times New Roman" w:cs="Times New Roman"/>
          <w:i/>
          <w:sz w:val="24"/>
          <w:szCs w:val="24"/>
          <w:lang w:val="mn-MN"/>
        </w:rPr>
      </w:pPr>
      <w:r w:rsidRPr="00E30F42">
        <w:rPr>
          <w:rFonts w:ascii="Times New Roman" w:hAnsi="Times New Roman" w:cs="Times New Roman"/>
          <w:i/>
          <w:sz w:val="24"/>
          <w:szCs w:val="24"/>
          <w:lang w:val="mn-MN"/>
        </w:rPr>
        <w:t>Багшийн мэргэжлийн үйл ажиллагаанд нөлөөлөх хүчин зүйлүүд</w:t>
      </w:r>
      <w:r w:rsidRPr="00E30F42">
        <w:rPr>
          <w:rFonts w:ascii="Times New Roman" w:hAnsi="Times New Roman" w:cs="Times New Roman"/>
          <w:i/>
          <w:sz w:val="24"/>
          <w:szCs w:val="24"/>
        </w:rPr>
        <w:t xml:space="preserve"> </w:t>
      </w:r>
      <w:sdt>
        <w:sdtPr>
          <w:rPr>
            <w:rFonts w:ascii="Times New Roman" w:hAnsi="Times New Roman" w:cs="Times New Roman"/>
            <w:i/>
            <w:sz w:val="24"/>
            <w:szCs w:val="24"/>
          </w:rPr>
          <w:id w:val="1364947957"/>
          <w:citation/>
        </w:sdtPr>
        <w:sdtContent>
          <w:r w:rsidRPr="00E30F42">
            <w:rPr>
              <w:rFonts w:ascii="Times New Roman" w:hAnsi="Times New Roman" w:cs="Times New Roman"/>
              <w:i/>
              <w:sz w:val="24"/>
              <w:szCs w:val="24"/>
            </w:rPr>
            <w:fldChar w:fldCharType="begin"/>
          </w:r>
          <w:r w:rsidRPr="00E30F42">
            <w:rPr>
              <w:rFonts w:ascii="Times New Roman" w:hAnsi="Times New Roman" w:cs="Times New Roman"/>
              <w:i/>
              <w:sz w:val="24"/>
              <w:szCs w:val="24"/>
              <w:lang w:val="mn-MN"/>
            </w:rPr>
            <w:instrText xml:space="preserve">CITATION Бай091 \l 1104 </w:instrText>
          </w:r>
          <w:r w:rsidRPr="00E30F42">
            <w:rPr>
              <w:rFonts w:ascii="Times New Roman" w:hAnsi="Times New Roman" w:cs="Times New Roman"/>
              <w:i/>
              <w:sz w:val="24"/>
              <w:szCs w:val="24"/>
            </w:rPr>
            <w:fldChar w:fldCharType="separate"/>
          </w:r>
          <w:r w:rsidRPr="00563E92">
            <w:rPr>
              <w:rFonts w:ascii="Times New Roman" w:hAnsi="Times New Roman" w:cs="Times New Roman"/>
              <w:noProof/>
              <w:sz w:val="24"/>
              <w:szCs w:val="24"/>
              <w:lang w:val="mn-MN"/>
            </w:rPr>
            <w:t>( Байгальмаа Ч, 2009)</w:t>
          </w:r>
          <w:r w:rsidRPr="00E30F42">
            <w:rPr>
              <w:rFonts w:ascii="Times New Roman" w:hAnsi="Times New Roman" w:cs="Times New Roman"/>
              <w:i/>
              <w:sz w:val="24"/>
              <w:szCs w:val="24"/>
            </w:rPr>
            <w:fldChar w:fldCharType="end"/>
          </w:r>
        </w:sdtContent>
      </w:sdt>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sz w:val="24"/>
          <w:szCs w:val="24"/>
          <w:lang w:val="mn-MN"/>
        </w:rPr>
        <w:tab/>
      </w:r>
      <w:r w:rsidRPr="00E30F42">
        <w:rPr>
          <w:rFonts w:ascii="Times New Roman" w:hAnsi="Times New Roman" w:cs="Times New Roman"/>
          <w:i/>
          <w:sz w:val="24"/>
          <w:szCs w:val="24"/>
          <w:lang w:val="mn-MN"/>
        </w:rPr>
        <w:t>Хүснэгт:6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6"/>
        <w:gridCol w:w="4842"/>
      </w:tblGrid>
      <w:tr w:rsidR="00FE25FF" w:rsidRPr="00E30F42" w14:paraId="78F65AA7" w14:textId="77777777" w:rsidTr="002C5A6C">
        <w:trPr>
          <w:trHeight w:val="467"/>
        </w:trPr>
        <w:tc>
          <w:tcPr>
            <w:tcW w:w="4176" w:type="dxa"/>
            <w:shd w:val="clear" w:color="auto" w:fill="D9D9D9" w:themeFill="background1" w:themeFillShade="D9"/>
          </w:tcPr>
          <w:p w14:paraId="0AC5B0C5" w14:textId="77777777" w:rsidR="00FE25FF" w:rsidRPr="00E30F42" w:rsidRDefault="00FE25FF" w:rsidP="002C5A6C">
            <w:pPr>
              <w:tabs>
                <w:tab w:val="left" w:pos="1440"/>
              </w:tabs>
              <w:spacing w:line="240" w:lineRule="auto"/>
              <w:ind w:firstLine="360"/>
              <w:jc w:val="both"/>
              <w:rPr>
                <w:rFonts w:ascii="Times New Roman" w:eastAsia="Calibri" w:hAnsi="Times New Roman" w:cs="Times New Roman"/>
                <w:b/>
                <w:sz w:val="24"/>
                <w:szCs w:val="24"/>
                <w:lang w:val="mn-MN"/>
              </w:rPr>
            </w:pPr>
            <w:r w:rsidRPr="00E30F42">
              <w:rPr>
                <w:rFonts w:ascii="Times New Roman" w:eastAsia="Calibri" w:hAnsi="Times New Roman" w:cs="Times New Roman"/>
                <w:b/>
                <w:sz w:val="24"/>
                <w:szCs w:val="24"/>
                <w:lang w:val="mn-MN"/>
              </w:rPr>
              <w:t>Дэмжигч хүчин зүйлүүд</w:t>
            </w:r>
          </w:p>
        </w:tc>
        <w:tc>
          <w:tcPr>
            <w:tcW w:w="4842" w:type="dxa"/>
            <w:shd w:val="clear" w:color="auto" w:fill="D9D9D9" w:themeFill="background1" w:themeFillShade="D9"/>
          </w:tcPr>
          <w:p w14:paraId="5D1B3CBF" w14:textId="77777777" w:rsidR="00FE25FF" w:rsidRPr="00E30F42" w:rsidRDefault="00FE25FF" w:rsidP="002C5A6C">
            <w:pPr>
              <w:tabs>
                <w:tab w:val="left" w:pos="1440"/>
              </w:tabs>
              <w:spacing w:line="240" w:lineRule="auto"/>
              <w:ind w:firstLine="360"/>
              <w:jc w:val="both"/>
              <w:rPr>
                <w:rFonts w:ascii="Times New Roman" w:eastAsia="Calibri" w:hAnsi="Times New Roman" w:cs="Times New Roman"/>
                <w:b/>
                <w:sz w:val="24"/>
                <w:szCs w:val="24"/>
                <w:lang w:val="mn-MN"/>
              </w:rPr>
            </w:pPr>
            <w:r w:rsidRPr="00E30F42">
              <w:rPr>
                <w:rFonts w:ascii="Times New Roman" w:eastAsia="Calibri" w:hAnsi="Times New Roman" w:cs="Times New Roman"/>
                <w:b/>
                <w:sz w:val="24"/>
                <w:szCs w:val="24"/>
                <w:lang w:val="mn-MN"/>
              </w:rPr>
              <w:t>Саад бологч хүчин зүйлүүд</w:t>
            </w:r>
          </w:p>
        </w:tc>
      </w:tr>
      <w:tr w:rsidR="00FE25FF" w:rsidRPr="00E30F42" w14:paraId="0F217FBA" w14:textId="77777777" w:rsidTr="002C5A6C">
        <w:trPr>
          <w:trHeight w:val="552"/>
        </w:trPr>
        <w:tc>
          <w:tcPr>
            <w:tcW w:w="4176" w:type="dxa"/>
          </w:tcPr>
          <w:p w14:paraId="1E00AEC2" w14:textId="77777777" w:rsidR="00FE25FF" w:rsidRPr="00E30F42" w:rsidRDefault="00FE25FF" w:rsidP="002C5A6C">
            <w:pPr>
              <w:tabs>
                <w:tab w:val="left" w:pos="1440"/>
              </w:tabs>
              <w:spacing w:line="240" w:lineRule="auto"/>
              <w:ind w:hanging="18"/>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Удирдлага хамт олны найрсаг эвсэг харилцаа, хөгжлийг дэмжсэн орчин</w:t>
            </w:r>
          </w:p>
        </w:tc>
        <w:tc>
          <w:tcPr>
            <w:tcW w:w="4842" w:type="dxa"/>
          </w:tcPr>
          <w:p w14:paraId="1B3D0625" w14:textId="77777777" w:rsidR="00FE25FF" w:rsidRPr="00E30F42" w:rsidRDefault="00FE25FF" w:rsidP="002C5A6C">
            <w:pPr>
              <w:tabs>
                <w:tab w:val="left" w:pos="1440"/>
              </w:tabs>
              <w:spacing w:line="240" w:lineRule="auto"/>
              <w:ind w:hanging="54"/>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Нийгмийн болон үйлчлүүлэгчдийн хэрэгцээний өөрчлөлтийг мэдрэхгүй байх</w:t>
            </w:r>
          </w:p>
        </w:tc>
      </w:tr>
      <w:tr w:rsidR="00FE25FF" w:rsidRPr="00E30F42" w14:paraId="446F9716" w14:textId="77777777" w:rsidTr="002C5A6C">
        <w:trPr>
          <w:trHeight w:val="548"/>
        </w:trPr>
        <w:tc>
          <w:tcPr>
            <w:tcW w:w="4176" w:type="dxa"/>
          </w:tcPr>
          <w:p w14:paraId="132DC496" w14:textId="77777777" w:rsidR="00FE25FF" w:rsidRPr="00E30F42" w:rsidRDefault="00FE25FF" w:rsidP="002C5A6C">
            <w:pPr>
              <w:tabs>
                <w:tab w:val="left" w:pos="1440"/>
              </w:tabs>
              <w:spacing w:line="240" w:lineRule="auto"/>
              <w:ind w:hanging="18"/>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Ажлын шударга, үнэн зөв үнэлгээ, урамшуулал</w:t>
            </w:r>
          </w:p>
        </w:tc>
        <w:tc>
          <w:tcPr>
            <w:tcW w:w="4842" w:type="dxa"/>
          </w:tcPr>
          <w:p w14:paraId="5DDB62F1" w14:textId="77777777" w:rsidR="00FE25FF" w:rsidRPr="00E30F42" w:rsidRDefault="00FE25FF" w:rsidP="002C5A6C">
            <w:pPr>
              <w:tabs>
                <w:tab w:val="left" w:pos="1440"/>
              </w:tabs>
              <w:spacing w:line="240" w:lineRule="auto"/>
              <w:ind w:hanging="54"/>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Үндсэн ажлаас хэт өөр ажил үүрэг даалгах, багш хөгжих цаггүй болгох</w:t>
            </w:r>
          </w:p>
        </w:tc>
      </w:tr>
      <w:tr w:rsidR="00FE25FF" w:rsidRPr="00E30F42" w14:paraId="560501F6" w14:textId="77777777" w:rsidTr="002C5A6C">
        <w:trPr>
          <w:trHeight w:val="552"/>
        </w:trPr>
        <w:tc>
          <w:tcPr>
            <w:tcW w:w="4176" w:type="dxa"/>
          </w:tcPr>
          <w:p w14:paraId="0803F12D" w14:textId="77777777" w:rsidR="00FE25FF" w:rsidRPr="00E30F42" w:rsidRDefault="00FE25FF" w:rsidP="002C5A6C">
            <w:pPr>
              <w:tabs>
                <w:tab w:val="left" w:pos="1440"/>
              </w:tabs>
              <w:spacing w:line="240" w:lineRule="auto"/>
              <w:ind w:hanging="18"/>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Олон нийтийн болон сонирхлын бүлгүүдийн хамтын ажиллагаа</w:t>
            </w:r>
          </w:p>
        </w:tc>
        <w:tc>
          <w:tcPr>
            <w:tcW w:w="4842" w:type="dxa"/>
          </w:tcPr>
          <w:p w14:paraId="1A47F815" w14:textId="77777777" w:rsidR="00FE25FF" w:rsidRPr="00E30F42" w:rsidRDefault="00FE25FF" w:rsidP="002C5A6C">
            <w:pPr>
              <w:tabs>
                <w:tab w:val="left" w:pos="1440"/>
              </w:tabs>
              <w:spacing w:line="240" w:lineRule="auto"/>
              <w:ind w:hanging="54"/>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Авилга, нэр төр хөөцөлдөх, хэт их бичиг цаастай зууралдах</w:t>
            </w:r>
          </w:p>
        </w:tc>
      </w:tr>
      <w:tr w:rsidR="00FE25FF" w:rsidRPr="00E30F42" w14:paraId="43F686C0" w14:textId="77777777" w:rsidTr="002C5A6C">
        <w:trPr>
          <w:trHeight w:val="552"/>
        </w:trPr>
        <w:tc>
          <w:tcPr>
            <w:tcW w:w="4176" w:type="dxa"/>
          </w:tcPr>
          <w:p w14:paraId="19292D63" w14:textId="77777777" w:rsidR="00FE25FF" w:rsidRPr="00E30F42" w:rsidRDefault="00FE25FF" w:rsidP="002C5A6C">
            <w:pPr>
              <w:tabs>
                <w:tab w:val="left" w:pos="1440"/>
              </w:tabs>
              <w:spacing w:line="240" w:lineRule="auto"/>
              <w:ind w:hanging="18"/>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Хувь хүний идэвх зүтгэл, чармайлт, хөгжил, өөрчлөлтөнд бэлэн байх</w:t>
            </w:r>
          </w:p>
        </w:tc>
        <w:tc>
          <w:tcPr>
            <w:tcW w:w="4842" w:type="dxa"/>
          </w:tcPr>
          <w:p w14:paraId="5BBEDB79" w14:textId="77777777" w:rsidR="00FE25FF" w:rsidRPr="00E30F42" w:rsidRDefault="00FE25FF" w:rsidP="002C5A6C">
            <w:pPr>
              <w:tabs>
                <w:tab w:val="left" w:pos="1440"/>
              </w:tabs>
              <w:spacing w:line="240" w:lineRule="auto"/>
              <w:ind w:hanging="54"/>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Хуучинсаг, арга барилаас салж чадахгүй байх</w:t>
            </w:r>
          </w:p>
        </w:tc>
      </w:tr>
      <w:tr w:rsidR="00FE25FF" w:rsidRPr="00E30F42" w14:paraId="0A7866A4" w14:textId="77777777" w:rsidTr="002C5A6C">
        <w:trPr>
          <w:trHeight w:val="552"/>
        </w:trPr>
        <w:tc>
          <w:tcPr>
            <w:tcW w:w="4176" w:type="dxa"/>
          </w:tcPr>
          <w:p w14:paraId="639C4CC3" w14:textId="77777777" w:rsidR="00FE25FF" w:rsidRPr="00E30F42" w:rsidRDefault="00FE25FF" w:rsidP="002C5A6C">
            <w:pPr>
              <w:tabs>
                <w:tab w:val="left" w:pos="1440"/>
              </w:tabs>
              <w:spacing w:line="240" w:lineRule="auto"/>
              <w:ind w:hanging="18"/>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Хөгжил, өөрчлөлтийг хийх хангалттай нөөц, боломж, хэрэгсэл, дэд бүтэц</w:t>
            </w:r>
          </w:p>
        </w:tc>
        <w:tc>
          <w:tcPr>
            <w:tcW w:w="4842" w:type="dxa"/>
          </w:tcPr>
          <w:p w14:paraId="7E39CCF2" w14:textId="77777777" w:rsidR="00FE25FF" w:rsidRPr="00E30F42" w:rsidRDefault="00FE25FF" w:rsidP="002C5A6C">
            <w:pPr>
              <w:tabs>
                <w:tab w:val="left" w:pos="1440"/>
              </w:tabs>
              <w:spacing w:line="240" w:lineRule="auto"/>
              <w:ind w:hanging="54"/>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Ажлын шударга бус үнэлгээ, шударга бус өрсөлдөөн</w:t>
            </w:r>
          </w:p>
        </w:tc>
      </w:tr>
      <w:tr w:rsidR="00FE25FF" w:rsidRPr="00E30F42" w14:paraId="5547CDD3" w14:textId="77777777" w:rsidTr="002C5A6C">
        <w:trPr>
          <w:trHeight w:val="552"/>
        </w:trPr>
        <w:tc>
          <w:tcPr>
            <w:tcW w:w="4176" w:type="dxa"/>
          </w:tcPr>
          <w:p w14:paraId="48064552" w14:textId="77777777" w:rsidR="00FE25FF" w:rsidRPr="00E30F42" w:rsidRDefault="00FE25FF" w:rsidP="002C5A6C">
            <w:pPr>
              <w:tabs>
                <w:tab w:val="left" w:pos="1440"/>
              </w:tabs>
              <w:spacing w:line="240" w:lineRule="auto"/>
              <w:ind w:hanging="18"/>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Багшийг хөгжүүлэх талаар боловсролын байгууллагын төлөвлөгөө, хөтөлбөр</w:t>
            </w:r>
          </w:p>
        </w:tc>
        <w:tc>
          <w:tcPr>
            <w:tcW w:w="4842" w:type="dxa"/>
          </w:tcPr>
          <w:p w14:paraId="339E26EB" w14:textId="77777777" w:rsidR="00FE25FF" w:rsidRPr="00E30F42" w:rsidRDefault="00FE25FF" w:rsidP="002C5A6C">
            <w:pPr>
              <w:tabs>
                <w:tab w:val="left" w:pos="1440"/>
              </w:tabs>
              <w:spacing w:line="240" w:lineRule="auto"/>
              <w:ind w:hanging="54"/>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Удирдлагын дарамт, хамт олны эрүүл бус харилцаа</w:t>
            </w:r>
          </w:p>
        </w:tc>
      </w:tr>
      <w:tr w:rsidR="00FE25FF" w:rsidRPr="00E30F42" w14:paraId="2B50189D" w14:textId="77777777" w:rsidTr="002C5A6C">
        <w:trPr>
          <w:trHeight w:val="552"/>
        </w:trPr>
        <w:tc>
          <w:tcPr>
            <w:tcW w:w="4176" w:type="dxa"/>
          </w:tcPr>
          <w:p w14:paraId="3EB00A4B" w14:textId="77777777" w:rsidR="00FE25FF" w:rsidRPr="00E30F42" w:rsidRDefault="00FE25FF" w:rsidP="002C5A6C">
            <w:pPr>
              <w:tabs>
                <w:tab w:val="left" w:pos="1440"/>
              </w:tabs>
              <w:spacing w:line="240" w:lineRule="auto"/>
              <w:ind w:hanging="18"/>
              <w:jc w:val="both"/>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Багшийн хөгжлийн үнэлгээ шалгуур, үр дүн  тодорхой байх.</w:t>
            </w:r>
          </w:p>
        </w:tc>
        <w:tc>
          <w:tcPr>
            <w:tcW w:w="4842" w:type="dxa"/>
          </w:tcPr>
          <w:p w14:paraId="0287B5A4" w14:textId="77777777" w:rsidR="00FE25FF" w:rsidRPr="00E30F42" w:rsidRDefault="00FE25FF" w:rsidP="002C5A6C">
            <w:pPr>
              <w:tabs>
                <w:tab w:val="left" w:pos="1440"/>
              </w:tabs>
              <w:spacing w:line="240" w:lineRule="auto"/>
              <w:ind w:hanging="54"/>
              <w:rPr>
                <w:rFonts w:ascii="Times New Roman" w:eastAsia="Calibri" w:hAnsi="Times New Roman" w:cs="Times New Roman"/>
                <w:sz w:val="24"/>
                <w:szCs w:val="24"/>
                <w:lang w:val="mn-MN"/>
              </w:rPr>
            </w:pPr>
            <w:r w:rsidRPr="00E30F42">
              <w:rPr>
                <w:rFonts w:ascii="Times New Roman" w:eastAsia="Calibri" w:hAnsi="Times New Roman" w:cs="Times New Roman"/>
                <w:sz w:val="24"/>
                <w:szCs w:val="24"/>
                <w:lang w:val="mn-MN"/>
              </w:rPr>
              <w:t>Тухайн  багшийн хөгжих, өөрчлөгдөхийг хүсэхгүй байх сэтгэлгээ</w:t>
            </w:r>
          </w:p>
        </w:tc>
      </w:tr>
    </w:tbl>
    <w:p w14:paraId="3ACD162E" w14:textId="77777777" w:rsidR="00FE25FF" w:rsidRPr="00E30F42" w:rsidRDefault="00FE25FF" w:rsidP="00FE25FF">
      <w:pPr>
        <w:tabs>
          <w:tab w:val="left" w:pos="72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Эндээс харахад багшийн хөгжлийг дэмжигч хүчин зүйлийн хэрэгжилт сайжирвал багшийн хөгжилд чанарын ахиц гарах бололцоотой.   Доктор  Ч.Байгальмаагийн тодорхойлсон багшийн хөгжилд саад бологч хүчин зүйлүүд өнөөдрийг хүртэл дээд боловсролын салбарт оршсоор байна. </w:t>
      </w:r>
    </w:p>
    <w:p w14:paraId="68D8B6B4"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lastRenderedPageBreak/>
        <w:t xml:space="preserve">Судлаач  багшийн хөгжилд нөлөөлөх хүчин зүйлийг дараах байдлаар ангилан авч үзэж байна. </w:t>
      </w:r>
      <w:sdt>
        <w:sdtPr>
          <w:rPr>
            <w:rFonts w:ascii="Times New Roman" w:hAnsi="Times New Roman" w:cs="Times New Roman"/>
            <w:sz w:val="24"/>
            <w:szCs w:val="24"/>
            <w:lang w:val="mn-MN"/>
          </w:rPr>
          <w:id w:val="-599414223"/>
          <w:citation/>
        </w:sdtPr>
        <w:sdtContent>
          <w:r w:rsidRPr="00E30F42">
            <w:rPr>
              <w:rFonts w:ascii="Times New Roman" w:hAnsi="Times New Roman" w:cs="Times New Roman"/>
              <w:sz w:val="24"/>
              <w:szCs w:val="24"/>
              <w:lang w:val="mn-MN"/>
            </w:rPr>
            <w:fldChar w:fldCharType="begin"/>
          </w:r>
          <w:r w:rsidRPr="00E30F42">
            <w:rPr>
              <w:rFonts w:ascii="Times New Roman" w:hAnsi="Times New Roman" w:cs="Times New Roman"/>
              <w:sz w:val="24"/>
              <w:szCs w:val="24"/>
              <w:lang w:val="mn-MN"/>
            </w:rPr>
            <w:instrText xml:space="preserve"> CITATION ЯОт151 \l 1104 </w:instrText>
          </w:r>
          <w:r w:rsidRPr="00E30F42">
            <w:rPr>
              <w:rFonts w:ascii="Times New Roman" w:hAnsi="Times New Roman" w:cs="Times New Roman"/>
              <w:sz w:val="24"/>
              <w:szCs w:val="24"/>
              <w:lang w:val="mn-MN"/>
            </w:rPr>
            <w:fldChar w:fldCharType="separate"/>
          </w:r>
          <w:r w:rsidRPr="00563E92">
            <w:rPr>
              <w:rFonts w:ascii="Times New Roman" w:hAnsi="Times New Roman" w:cs="Times New Roman"/>
              <w:noProof/>
              <w:sz w:val="24"/>
              <w:szCs w:val="24"/>
              <w:lang w:val="mn-MN"/>
            </w:rPr>
            <w:t>(Я.Отгонбаяр, 2015)</w:t>
          </w:r>
          <w:r w:rsidRPr="00E30F42">
            <w:rPr>
              <w:rFonts w:ascii="Times New Roman" w:hAnsi="Times New Roman" w:cs="Times New Roman"/>
              <w:sz w:val="24"/>
              <w:szCs w:val="24"/>
              <w:lang w:val="mn-MN"/>
            </w:rPr>
            <w:fldChar w:fldCharType="end"/>
          </w:r>
        </w:sdtContent>
      </w:sdt>
      <w:r w:rsidRPr="00E30F42">
        <w:rPr>
          <w:rFonts w:ascii="Times New Roman" w:hAnsi="Times New Roman" w:cs="Times New Roman"/>
          <w:sz w:val="24"/>
          <w:szCs w:val="24"/>
          <w:lang w:val="mn-MN"/>
        </w:rPr>
        <w:t>Үүнд:</w:t>
      </w:r>
    </w:p>
    <w:p w14:paraId="5CE608FB" w14:textId="77777777" w:rsidR="00FE25FF" w:rsidRPr="00E30F42" w:rsidRDefault="00FE25FF" w:rsidP="00FE25FF">
      <w:pPr>
        <w:pStyle w:val="ListParagraph"/>
        <w:numPr>
          <w:ilvl w:val="0"/>
          <w:numId w:val="9"/>
        </w:numPr>
        <w:tabs>
          <w:tab w:val="left" w:pos="990"/>
        </w:tabs>
        <w:spacing w:line="240" w:lineRule="auto"/>
        <w:ind w:left="0" w:firstLine="720"/>
        <w:jc w:val="both"/>
        <w:rPr>
          <w:rFonts w:cs="Times New Roman"/>
          <w:i/>
          <w:szCs w:val="24"/>
          <w:lang w:val="mn-MN"/>
        </w:rPr>
      </w:pPr>
      <w:r w:rsidRPr="00E30F42">
        <w:rPr>
          <w:rFonts w:cs="Times New Roman"/>
          <w:i/>
          <w:szCs w:val="24"/>
          <w:lang w:val="mn-MN"/>
        </w:rPr>
        <w:t>Макро хүчин зүйл: бодлого, эрх зүй, нийгмийн орчин, ажлын үнэлгээ мэргэжлийн нэр хүнд, статус, роль,  ажлын ачаалал</w:t>
      </w:r>
    </w:p>
    <w:p w14:paraId="7FF36D1B" w14:textId="77777777" w:rsidR="00FE25FF" w:rsidRPr="00E30F42" w:rsidRDefault="00FE25FF" w:rsidP="00FE25FF">
      <w:pPr>
        <w:pStyle w:val="ListParagraph"/>
        <w:numPr>
          <w:ilvl w:val="0"/>
          <w:numId w:val="9"/>
        </w:numPr>
        <w:tabs>
          <w:tab w:val="left" w:pos="990"/>
        </w:tabs>
        <w:spacing w:line="240" w:lineRule="auto"/>
        <w:ind w:left="0" w:firstLine="720"/>
        <w:jc w:val="both"/>
        <w:rPr>
          <w:rFonts w:cs="Times New Roman"/>
          <w:i/>
          <w:szCs w:val="24"/>
          <w:lang w:val="mn-MN"/>
        </w:rPr>
      </w:pPr>
      <w:r w:rsidRPr="00E30F42">
        <w:rPr>
          <w:rFonts w:cs="Times New Roman"/>
          <w:i/>
          <w:szCs w:val="24"/>
          <w:lang w:val="mn-MN"/>
        </w:rPr>
        <w:t>Микро хүчин зүйл: сургууль, тэнхим, нэгжийн үйл ажиллагааны орчин, сэтгэл ханамж, багшийн өөрийн сэдэл, тэмүүлэл</w:t>
      </w:r>
    </w:p>
    <w:p w14:paraId="38ADA28A"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Сүүлийн жилүүдэд багшийн урамшууллын тогтолцоог багшийн хөгжилд нөлөөлөх хамгийн чухал хүчин зүйл гэж үзэн энэ чиглэлийн  судалгааг дэлхийн ихэнх оронд хийж байгаа. Хамгийн сүүлийн судалгаа 11 жилийн өмнө хийгджээ. Тухайлбал </w:t>
      </w:r>
      <w:sdt>
        <w:sdtPr>
          <w:rPr>
            <w:rFonts w:ascii="Times New Roman" w:hAnsi="Times New Roman" w:cs="Times New Roman"/>
            <w:sz w:val="24"/>
            <w:szCs w:val="24"/>
            <w:lang w:val="mn-MN"/>
          </w:rPr>
          <w:id w:val="-1030791470"/>
          <w:citation/>
        </w:sdtPr>
        <w:sdtContent>
          <w:r w:rsidRPr="00E30F42">
            <w:rPr>
              <w:rFonts w:ascii="Times New Roman" w:hAnsi="Times New Roman" w:cs="Times New Roman"/>
              <w:sz w:val="24"/>
              <w:szCs w:val="24"/>
              <w:lang w:val="mn-MN"/>
            </w:rPr>
            <w:fldChar w:fldCharType="begin"/>
          </w:r>
          <w:r w:rsidRPr="00E30F42">
            <w:rPr>
              <w:rFonts w:ascii="Times New Roman" w:hAnsi="Times New Roman" w:cs="Times New Roman"/>
              <w:sz w:val="24"/>
              <w:szCs w:val="24"/>
            </w:rPr>
            <w:instrText xml:space="preserve">CITATION Emi05 \l 1033 </w:instrText>
          </w:r>
          <w:r w:rsidRPr="00E30F42">
            <w:rPr>
              <w:rFonts w:ascii="Times New Roman" w:hAnsi="Times New Roman" w:cs="Times New Roman"/>
              <w:sz w:val="24"/>
              <w:szCs w:val="24"/>
              <w:lang w:val="mn-MN"/>
            </w:rPr>
            <w:fldChar w:fldCharType="separate"/>
          </w:r>
          <w:r w:rsidRPr="00563E92">
            <w:rPr>
              <w:rFonts w:ascii="Times New Roman" w:hAnsi="Times New Roman" w:cs="Times New Roman"/>
              <w:noProof/>
              <w:sz w:val="24"/>
              <w:szCs w:val="24"/>
            </w:rPr>
            <w:t>(Emiliana Vegas, Ilana Umansky, 2005)</w:t>
          </w:r>
          <w:r w:rsidRPr="00E30F42">
            <w:rPr>
              <w:rFonts w:ascii="Times New Roman" w:hAnsi="Times New Roman" w:cs="Times New Roman"/>
              <w:sz w:val="24"/>
              <w:szCs w:val="24"/>
              <w:lang w:val="mn-MN"/>
            </w:rPr>
            <w:fldChar w:fldCharType="end"/>
          </w:r>
        </w:sdtContent>
      </w:sdt>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нарын “</w:t>
      </w:r>
      <w:r w:rsidRPr="00E30F42">
        <w:rPr>
          <w:rFonts w:ascii="Times New Roman" w:hAnsi="Times New Roman" w:cs="Times New Roman"/>
          <w:sz w:val="24"/>
          <w:szCs w:val="24"/>
        </w:rPr>
        <w:t>Incentives to improve teaching: Lessons from Latin America</w:t>
      </w:r>
      <w:r w:rsidRPr="00E30F42">
        <w:rPr>
          <w:rFonts w:ascii="Times New Roman" w:hAnsi="Times New Roman" w:cs="Times New Roman"/>
          <w:sz w:val="24"/>
          <w:szCs w:val="24"/>
          <w:lang w:val="mn-MN"/>
        </w:rPr>
        <w:t>”</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 xml:space="preserve">судалгааг нэрлэж болно. Тус судалгаанд багшийг үр дүнтэй ажиллуулахад нөлөөлөх урамшуулал, орчны хүчин зүйлийг дараах байдлаар авч үзжээ. </w:t>
      </w:r>
    </w:p>
    <w:p w14:paraId="78415A07" w14:textId="77777777" w:rsidR="00FE25FF" w:rsidRPr="00E30F42" w:rsidRDefault="00FE25FF" w:rsidP="00FE25FF">
      <w:pPr>
        <w:tabs>
          <w:tab w:val="left" w:pos="1440"/>
        </w:tabs>
        <w:spacing w:line="240" w:lineRule="auto"/>
        <w:ind w:firstLine="360"/>
        <w:jc w:val="both"/>
        <w:rPr>
          <w:rFonts w:ascii="Times New Roman" w:hAnsi="Times New Roman" w:cs="Times New Roman"/>
          <w:sz w:val="24"/>
          <w:szCs w:val="24"/>
          <w:lang w:val="mn-MN"/>
        </w:rPr>
      </w:pPr>
      <w:r w:rsidRPr="00E30F42">
        <w:rPr>
          <w:rFonts w:ascii="Times New Roman" w:hAnsi="Times New Roman" w:cs="Times New Roman"/>
          <w:noProof/>
          <w:sz w:val="24"/>
          <w:szCs w:val="24"/>
        </w:rPr>
        <w:drawing>
          <wp:inline distT="0" distB="0" distL="0" distR="0" wp14:anchorId="6F0BD5E7" wp14:editId="3419E32C">
            <wp:extent cx="5656521" cy="3519376"/>
            <wp:effectExtent l="0" t="25400" r="0" b="3683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E27ACD5" w14:textId="77777777" w:rsidR="00FE25FF" w:rsidRPr="00E30F42" w:rsidRDefault="00FE25FF" w:rsidP="00FE25FF">
      <w:pPr>
        <w:tabs>
          <w:tab w:val="left" w:pos="1440"/>
        </w:tabs>
        <w:spacing w:line="240" w:lineRule="auto"/>
        <w:ind w:firstLine="360"/>
        <w:jc w:val="both"/>
        <w:rPr>
          <w:rFonts w:ascii="Times New Roman" w:hAnsi="Times New Roman" w:cs="Times New Roman"/>
          <w:i/>
          <w:sz w:val="24"/>
          <w:szCs w:val="24"/>
          <w:lang w:val="mn-MN"/>
        </w:rPr>
      </w:pPr>
      <w:r w:rsidRPr="00E30F42">
        <w:rPr>
          <w:rFonts w:ascii="Times New Roman" w:hAnsi="Times New Roman" w:cs="Times New Roman"/>
          <w:sz w:val="24"/>
          <w:szCs w:val="24"/>
          <w:lang w:val="mn-MN"/>
        </w:rPr>
        <w:t xml:space="preserve">      Эх сурвалж</w:t>
      </w:r>
      <w:r w:rsidRPr="00E30F42">
        <w:rPr>
          <w:rFonts w:ascii="Times New Roman" w:hAnsi="Times New Roman" w:cs="Times New Roman"/>
          <w:i/>
          <w:sz w:val="24"/>
          <w:szCs w:val="24"/>
          <w:lang w:val="mn-MN"/>
        </w:rPr>
        <w:t>: “</w:t>
      </w:r>
      <w:r w:rsidRPr="00E30F42">
        <w:rPr>
          <w:rFonts w:ascii="Times New Roman" w:hAnsi="Times New Roman" w:cs="Times New Roman"/>
          <w:i/>
          <w:sz w:val="24"/>
          <w:szCs w:val="24"/>
        </w:rPr>
        <w:t>Incentives to improve teaching: Lessons from Latin America</w:t>
      </w:r>
      <w:r w:rsidRPr="00E30F42">
        <w:rPr>
          <w:rFonts w:ascii="Times New Roman" w:hAnsi="Times New Roman" w:cs="Times New Roman"/>
          <w:i/>
          <w:sz w:val="24"/>
          <w:szCs w:val="24"/>
          <w:lang w:val="mn-MN"/>
        </w:rPr>
        <w:t>”</w:t>
      </w:r>
      <w:r w:rsidRPr="00E30F42">
        <w:rPr>
          <w:rFonts w:ascii="Times New Roman" w:hAnsi="Times New Roman" w:cs="Times New Roman"/>
          <w:i/>
          <w:sz w:val="24"/>
          <w:szCs w:val="24"/>
        </w:rPr>
        <w:t>(World bank 2005)</w:t>
      </w:r>
    </w:p>
    <w:p w14:paraId="531E75F7"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i/>
          <w:sz w:val="24"/>
          <w:szCs w:val="24"/>
          <w:lang w:val="mn-MN"/>
        </w:rPr>
        <w:t xml:space="preserve"> </w:t>
      </w:r>
      <w:r w:rsidRPr="00E30F42">
        <w:rPr>
          <w:rFonts w:ascii="Times New Roman" w:hAnsi="Times New Roman" w:cs="Times New Roman"/>
          <w:sz w:val="24"/>
          <w:szCs w:val="24"/>
          <w:lang w:val="mn-MN"/>
        </w:rPr>
        <w:t xml:space="preserve">Эдгээр хүчин зүйлийн бодит байдлыг өөрийн орныхтой харьцуулан харвал нийгэм дэх багшийн мэргэжлийн нэр хүнд муу, цалингийн хэмжээ, хэлбэр нэг түвшинд, тэтгэвэр, тэтгэмж, нийгмийн баталгаа хангалтгүй, сургалтын орчин нөхцөл, материаллаг хангамж хүрэлцээ муу зэрэг олон талаар урамшууллын механизм байхгүй байна. </w:t>
      </w:r>
    </w:p>
    <w:p w14:paraId="52A0780B"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Тухайлбал, менежментийн хувьд хүний хөдөлмөрийг зөв үнэлж, сэдэл төрүүлж болох хүчин зүйлийг зөв тодорхойлох урамшуулах нь амжилтын үндэс  бөгөөд багшийн цалин нь, урамшууллын үүрэг гүйцэтгэхийн тулд хоёр үндсэн шинж чанартай байх ёстой. Эдгээр нь: </w:t>
      </w:r>
    </w:p>
    <w:p w14:paraId="712A2CBD" w14:textId="77777777" w:rsidR="00FE25FF" w:rsidRPr="00E30F42" w:rsidRDefault="00FE25FF" w:rsidP="00FE25FF">
      <w:pPr>
        <w:pStyle w:val="ListParagraph"/>
        <w:numPr>
          <w:ilvl w:val="0"/>
          <w:numId w:val="3"/>
        </w:numPr>
        <w:tabs>
          <w:tab w:val="left" w:pos="990"/>
        </w:tabs>
        <w:spacing w:line="240" w:lineRule="auto"/>
        <w:jc w:val="both"/>
        <w:rPr>
          <w:rFonts w:cs="Times New Roman"/>
          <w:szCs w:val="24"/>
          <w:lang w:val="mn-MN"/>
        </w:rPr>
      </w:pPr>
      <w:r w:rsidRPr="00E30F42">
        <w:rPr>
          <w:rFonts w:cs="Times New Roman"/>
          <w:szCs w:val="24"/>
          <w:lang w:val="mn-MN"/>
        </w:rPr>
        <w:lastRenderedPageBreak/>
        <w:t>Багшийн цалин адил төрлийн дээд мэргэжлийн ажлын дундаж цалингаас өндөр байх</w:t>
      </w:r>
      <w:r w:rsidRPr="00E30F42">
        <w:rPr>
          <w:rFonts w:cs="Times New Roman"/>
          <w:szCs w:val="24"/>
        </w:rPr>
        <w:t>;</w:t>
      </w:r>
    </w:p>
    <w:p w14:paraId="7A033A54" w14:textId="77777777" w:rsidR="00FE25FF" w:rsidRPr="00E30F42" w:rsidRDefault="00FE25FF" w:rsidP="00FE25FF">
      <w:pPr>
        <w:pStyle w:val="ListParagraph"/>
        <w:numPr>
          <w:ilvl w:val="0"/>
          <w:numId w:val="3"/>
        </w:numPr>
        <w:tabs>
          <w:tab w:val="left" w:pos="990"/>
        </w:tabs>
        <w:spacing w:line="240" w:lineRule="auto"/>
        <w:jc w:val="both"/>
        <w:rPr>
          <w:rFonts w:cs="Times New Roman"/>
          <w:szCs w:val="24"/>
          <w:lang w:val="mn-MN"/>
        </w:rPr>
      </w:pPr>
      <w:r w:rsidRPr="00E30F42">
        <w:rPr>
          <w:rFonts w:cs="Times New Roman"/>
          <w:szCs w:val="24"/>
          <w:lang w:val="mn-MN"/>
        </w:rPr>
        <w:t>Багшийн цалин тэдний хөдөлмөрийн ачаалал, эцсийн үр дүнтэй холбогдсон байх</w:t>
      </w:r>
      <w:r w:rsidRPr="00E30F42">
        <w:rPr>
          <w:rFonts w:cs="Times New Roman"/>
          <w:szCs w:val="24"/>
        </w:rPr>
        <w:t>;</w:t>
      </w:r>
    </w:p>
    <w:p w14:paraId="68E1A977" w14:textId="77777777" w:rsidR="00FE25FF" w:rsidRPr="00E30F42" w:rsidRDefault="00FE25FF" w:rsidP="00FE25FF">
      <w:pPr>
        <w:tabs>
          <w:tab w:val="left" w:pos="1440"/>
        </w:tabs>
        <w:spacing w:line="240" w:lineRule="auto"/>
        <w:ind w:firstLine="720"/>
        <w:jc w:val="both"/>
        <w:rPr>
          <w:rFonts w:ascii="Times New Roman" w:hAnsi="Times New Roman" w:cs="Times New Roman"/>
          <w:b/>
          <w:sz w:val="24"/>
          <w:szCs w:val="24"/>
        </w:rPr>
      </w:pPr>
      <w:r w:rsidRPr="00E30F42">
        <w:rPr>
          <w:rFonts w:ascii="Times New Roman" w:hAnsi="Times New Roman" w:cs="Times New Roman"/>
          <w:sz w:val="24"/>
          <w:szCs w:val="24"/>
          <w:lang w:val="mn-MN"/>
        </w:rPr>
        <w:t xml:space="preserve">Багшийн цалин бусад дээд мэргэжилтэй хүмүүсийн дундаж цалингаас өндөр байснаар нийгэм дэх багш мэргэжлийн нэр хүнд өсч, сайн сурлагатай хүүхдүүд энэ мэргэжлийг сонгох, сайн багш өөр салбар луу шилжихгүй байх, нийгмийн зүгээс сургууль, багшид, боловсролын чанарт тавигдах шаардлага нэмэгдэх хөшүүрэг, хөдөлмөрийн зах зээлийн урамшуулал болдог. </w:t>
      </w:r>
      <w:proofErr w:type="spellStart"/>
      <w:r w:rsidRPr="00E30F42">
        <w:rPr>
          <w:rFonts w:ascii="Times New Roman" w:hAnsi="Times New Roman" w:cs="Times New Roman"/>
          <w:sz w:val="24"/>
          <w:szCs w:val="24"/>
        </w:rPr>
        <w:t>Emiliana</w:t>
      </w:r>
      <w:proofErr w:type="spellEnd"/>
      <w:r w:rsidRPr="00E30F42">
        <w:rPr>
          <w:rFonts w:ascii="Times New Roman" w:hAnsi="Times New Roman" w:cs="Times New Roman"/>
          <w:sz w:val="24"/>
          <w:szCs w:val="24"/>
        </w:rPr>
        <w:t xml:space="preserve"> Vegas, Ilana </w:t>
      </w:r>
      <w:proofErr w:type="spellStart"/>
      <w:r w:rsidRPr="00E30F42">
        <w:rPr>
          <w:rFonts w:ascii="Times New Roman" w:hAnsi="Times New Roman" w:cs="Times New Roman"/>
          <w:sz w:val="24"/>
          <w:szCs w:val="24"/>
        </w:rPr>
        <w:t>Umansky</w:t>
      </w:r>
      <w:proofErr w:type="spellEnd"/>
      <w:r w:rsidRPr="00E30F42">
        <w:rPr>
          <w:rFonts w:ascii="Times New Roman" w:hAnsi="Times New Roman" w:cs="Times New Roman"/>
          <w:sz w:val="24"/>
          <w:szCs w:val="24"/>
        </w:rPr>
        <w:t xml:space="preserve"> (2005)</w:t>
      </w:r>
      <w:r w:rsidRPr="00E30F42">
        <w:rPr>
          <w:rFonts w:ascii="Times New Roman" w:hAnsi="Times New Roman" w:cs="Times New Roman"/>
          <w:sz w:val="24"/>
          <w:szCs w:val="24"/>
          <w:lang w:val="mn-MN"/>
        </w:rPr>
        <w:t xml:space="preserve"> нарын судалгаанд, багш болон багш биш хүмүүсийн цалингийн ялгаа сурлагатай төгсөгчдийг энэ мэргэжилд татах хөшүүрэг болдог. Харин нэгэнт багш болсны дараа багшийн цалин урамшуулал нь тэдний туршлага, мэргэшлээс хамааран ялгаатай байх нь үр дүнтэй байдаг ажээ.</w:t>
      </w:r>
    </w:p>
    <w:p w14:paraId="342F2B4C" w14:textId="77777777" w:rsidR="00FE25FF" w:rsidRPr="00E30F42" w:rsidRDefault="00FE25FF" w:rsidP="00FE25FF">
      <w:pPr>
        <w:pStyle w:val="ListParagraph"/>
        <w:tabs>
          <w:tab w:val="left" w:pos="1440"/>
        </w:tabs>
        <w:spacing w:line="240" w:lineRule="auto"/>
        <w:ind w:left="0" w:firstLine="720"/>
        <w:rPr>
          <w:rFonts w:cs="Times New Roman"/>
          <w:szCs w:val="24"/>
          <w:lang w:val="mn-MN"/>
        </w:rPr>
      </w:pPr>
      <w:r w:rsidRPr="00E30F42">
        <w:rPr>
          <w:rFonts w:cs="Times New Roman"/>
          <w:szCs w:val="24"/>
          <w:lang w:val="mn-MN"/>
        </w:rPr>
        <w:t>Багшийн хөгжлийг хэрхэн үнэлдэг, их, дээд сургуулийн багшид ямар нийтлэг шаардлага тавигддаг талаар зарим өндөр хөгжилтэй орнуудын туршлагаас дурьдая:</w:t>
      </w:r>
    </w:p>
    <w:p w14:paraId="109CE020" w14:textId="77777777" w:rsidR="00FE25FF" w:rsidRPr="00E30F42" w:rsidRDefault="00FE25FF" w:rsidP="00FE25FF">
      <w:pPr>
        <w:pStyle w:val="ListParagraph"/>
        <w:tabs>
          <w:tab w:val="left" w:pos="1440"/>
        </w:tabs>
        <w:spacing w:line="240" w:lineRule="auto"/>
        <w:ind w:left="1440"/>
        <w:rPr>
          <w:rFonts w:cs="Times New Roman"/>
          <w:b/>
          <w:szCs w:val="24"/>
          <w:lang w:val="mn-MN"/>
        </w:rPr>
      </w:pPr>
      <w:r w:rsidRPr="00E30F42">
        <w:rPr>
          <w:rFonts w:cs="Times New Roman"/>
          <w:b/>
          <w:szCs w:val="24"/>
          <w:lang w:val="mn-MN"/>
        </w:rPr>
        <w:t>2.Багшийн хөгжлийг үнэлж байгаа зарим улсын туршлага</w:t>
      </w:r>
    </w:p>
    <w:p w14:paraId="6D4ED31C" w14:textId="77777777" w:rsidR="00FE25FF" w:rsidRPr="00E30F42" w:rsidRDefault="00FE25FF" w:rsidP="00FE25FF">
      <w:pPr>
        <w:tabs>
          <w:tab w:val="left" w:pos="1440"/>
        </w:tabs>
        <w:spacing w:line="240" w:lineRule="auto"/>
        <w:jc w:val="both"/>
        <w:rPr>
          <w:rFonts w:ascii="Times New Roman" w:hAnsi="Times New Roman" w:cs="Times New Roman"/>
          <w:b/>
          <w:sz w:val="24"/>
          <w:szCs w:val="24"/>
          <w:lang w:val="mn-MN"/>
        </w:rPr>
      </w:pPr>
      <w:r w:rsidRPr="00E30F42">
        <w:rPr>
          <w:rFonts w:ascii="Times New Roman" w:hAnsi="Times New Roman" w:cs="Times New Roman"/>
          <w:b/>
          <w:sz w:val="24"/>
          <w:szCs w:val="24"/>
          <w:lang w:val="mn-MN"/>
        </w:rPr>
        <w:t>АНУ-ын туршлага:</w:t>
      </w:r>
    </w:p>
    <w:p w14:paraId="0405CED0"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Багш ажлын орчиндоо, өөрийнхөө эзэмшсэн мэргэжилдээ сэтгэл хангалуун байж цаашид тогтвортой ажиллах, тасралтгүй өөрийгөө хөгжүүлэх хүсэл эрмэлзэлтэй болдог. Багшийн мэргэжлийн сэтгэл ханамжийн талаар  Америкийн социологичид нэлээд судалжээ. Багш нар эзэмшсэн мэргэжилдээ хэр зэрэг сэтгэл хангалуун байх нь сургуулийн хувь заяаг шийддэг  онцгой зүйлийн нэг. Нийгмийн оюун санааны эрүүл саруул байдал нь багш хүн үүргээ хэр мэдэрснээс, түүний сэтгэл зүйн онцлогоос шууд шалтгаалдаг болохоор энэ нь нийгмийн чухал үнэт зүйл болдог байна. “Багшийн байгаль”- ийг</w:t>
      </w:r>
      <w:sdt>
        <w:sdtPr>
          <w:rPr>
            <w:rFonts w:ascii="Times New Roman" w:hAnsi="Times New Roman" w:cs="Times New Roman"/>
            <w:sz w:val="24"/>
            <w:szCs w:val="24"/>
            <w:lang w:val="mn-MN"/>
          </w:rPr>
          <w:id w:val="-476758765"/>
          <w:citation/>
        </w:sdtPr>
        <w:sdtContent>
          <w:r w:rsidRPr="00E30F42">
            <w:rPr>
              <w:rFonts w:ascii="Times New Roman" w:hAnsi="Times New Roman" w:cs="Times New Roman"/>
              <w:sz w:val="24"/>
              <w:szCs w:val="24"/>
              <w:lang w:val="mn-MN"/>
            </w:rPr>
            <w:fldChar w:fldCharType="begin"/>
          </w:r>
          <w:r w:rsidRPr="00E30F42">
            <w:rPr>
              <w:rFonts w:ascii="Times New Roman" w:hAnsi="Times New Roman" w:cs="Times New Roman"/>
              <w:sz w:val="24"/>
              <w:szCs w:val="24"/>
              <w:lang w:val="mn-MN"/>
            </w:rPr>
            <w:instrText xml:space="preserve"> CITATION Нар12 \l 1104 </w:instrText>
          </w:r>
          <w:r w:rsidRPr="00E30F42">
            <w:rPr>
              <w:rFonts w:ascii="Times New Roman" w:hAnsi="Times New Roman" w:cs="Times New Roman"/>
              <w:sz w:val="24"/>
              <w:szCs w:val="24"/>
              <w:lang w:val="mn-MN"/>
            </w:rPr>
            <w:fldChar w:fldCharType="separate"/>
          </w:r>
          <w:r>
            <w:rPr>
              <w:rFonts w:ascii="Times New Roman" w:hAnsi="Times New Roman" w:cs="Times New Roman"/>
              <w:noProof/>
              <w:sz w:val="24"/>
              <w:szCs w:val="24"/>
              <w:lang w:val="mn-MN"/>
            </w:rPr>
            <w:t xml:space="preserve"> </w:t>
          </w:r>
          <w:r w:rsidRPr="00563E92">
            <w:rPr>
              <w:rFonts w:ascii="Times New Roman" w:hAnsi="Times New Roman" w:cs="Times New Roman"/>
              <w:noProof/>
              <w:sz w:val="24"/>
              <w:szCs w:val="24"/>
              <w:lang w:val="mn-MN"/>
            </w:rPr>
            <w:t>(Нарантуяа Н, 2012)</w:t>
          </w:r>
          <w:r w:rsidRPr="00E30F42">
            <w:rPr>
              <w:rFonts w:ascii="Times New Roman" w:hAnsi="Times New Roman" w:cs="Times New Roman"/>
              <w:sz w:val="24"/>
              <w:szCs w:val="24"/>
              <w:lang w:val="mn-MN"/>
            </w:rPr>
            <w:fldChar w:fldCharType="end"/>
          </w:r>
        </w:sdtContent>
      </w:sdt>
      <w:r w:rsidRPr="00E30F42">
        <w:rPr>
          <w:rFonts w:ascii="Times New Roman" w:hAnsi="Times New Roman" w:cs="Times New Roman"/>
          <w:sz w:val="24"/>
          <w:szCs w:val="24"/>
          <w:lang w:val="mn-MN"/>
        </w:rPr>
        <w:t xml:space="preserve"> судлах асуудал АНУ-д нэлээд дээгүүрт тавигддаг ажээ. Америкийн социологичид багш хүн мэргэжлээ хэрхэн сонгож авдгийг судлаад “Заадаг хичээлээ сонирхдог, анхнаасаа л багш болохыг хүсдэг байсан” гэсэн шалтгаан нэлээд их буюу 22 % нь, “багшийн ажил урам оруулж, аятайхан сэтгэгдэл төрүүлдэг” гэж 19 % нь, “бусдад туслах, хүүхдэд юм заах нь таалагдсан” гэж 17 % нь, “ажлын нөхцөл сайн” гэж 8 % нь, “эдийн засгийн үүднээс” гэж 4 %  нь тус тус хариулжээ. Эндээс Америкийн багш нарын ихэнх нь мэргэжил сонголтоо ухамсартай хийдэг, хүнтэй ажиллах хүсэл сонирхолдоо хөтлөгддөг нь харагдаж байна. Ингэж өөрийн сонирхлын дагуу мэргэжлээ сонгох нь амжилтад хүрэх, тогтвор суурьшилтай ажиллах гол үндэс болсноор сургуулийн, боловсролын тогтолцооны цаашдын хөгжилд чухал үүрэг гүйцэтгэдэг байна.  </w:t>
      </w:r>
    </w:p>
    <w:p w14:paraId="6DDBBBC8"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 Их, дээд сургуулийн багш эрдмийн зэрэг цолтой, мэдлэг туршлагатай байхаас гадна хүнийг хүмүүжүүлэх үүрэгтэй гэдэгт илүү анхаарч, оюутанд мэдлэг өгөхөөс илүү өөрийгөө авч явах чадварыг суулга гэсэн зарчмыг баримталдаг. </w:t>
      </w:r>
    </w:p>
    <w:p w14:paraId="21BFC6AB" w14:textId="77777777" w:rsidR="00FE25FF" w:rsidRPr="00E30F42" w:rsidRDefault="00FE25FF" w:rsidP="00FE25FF">
      <w:pPr>
        <w:tabs>
          <w:tab w:val="left" w:pos="1080"/>
          <w:tab w:val="left" w:pos="1440"/>
        </w:tabs>
        <w:spacing w:line="240" w:lineRule="auto"/>
        <w:ind w:firstLine="63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Их, дээд сургуулийн  бүтэц, түүний хөгжлийн асуудал нь </w:t>
      </w:r>
      <w:r w:rsidRPr="00E30F42">
        <w:rPr>
          <w:rFonts w:ascii="Times New Roman" w:hAnsi="Times New Roman" w:cs="Times New Roman"/>
          <w:sz w:val="24"/>
          <w:szCs w:val="24"/>
        </w:rPr>
        <w:t>XIX</w:t>
      </w:r>
      <w:r w:rsidRPr="00E30F42">
        <w:rPr>
          <w:rFonts w:ascii="Times New Roman" w:hAnsi="Times New Roman" w:cs="Times New Roman"/>
          <w:sz w:val="24"/>
          <w:szCs w:val="24"/>
          <w:lang w:val="mn-MN"/>
        </w:rPr>
        <w:t xml:space="preserve"> зууны үеэс Америкийн их сургуулиудад ихээхэн хүчтэй яригдаж, улам боловсронгуй болж иржээ. Тухайн үед их сургуулийн хөрөнгө оруулагчид, хандивлагчид нь профессоруудыг томилох, халах асуудлыг шийдвэрлэдэг байсан бөгөөд үүнийг профессорууд эсэргүүцэн тэмцэж их </w:t>
      </w:r>
      <w:r w:rsidRPr="00E30F42">
        <w:rPr>
          <w:rFonts w:ascii="Times New Roman" w:hAnsi="Times New Roman" w:cs="Times New Roman"/>
          <w:sz w:val="24"/>
          <w:szCs w:val="24"/>
          <w:lang w:val="mn-MN"/>
        </w:rPr>
        <w:lastRenderedPageBreak/>
        <w:t xml:space="preserve">сургуулийн багшийн албан тушаалын статусын асуудлыг хөндсөнөөр </w:t>
      </w:r>
      <w:r w:rsidRPr="00E30F42">
        <w:rPr>
          <w:rFonts w:ascii="Times New Roman" w:hAnsi="Times New Roman" w:cs="Times New Roman"/>
          <w:sz w:val="24"/>
          <w:szCs w:val="24"/>
        </w:rPr>
        <w:t>(tenure track)</w:t>
      </w:r>
      <w:r w:rsidRPr="00E30F42">
        <w:rPr>
          <w:rStyle w:val="FootnoteReference"/>
          <w:rFonts w:ascii="Times New Roman" w:hAnsi="Times New Roman" w:cs="Times New Roman"/>
          <w:sz w:val="24"/>
          <w:szCs w:val="24"/>
        </w:rPr>
        <w:footnoteReference w:id="1"/>
      </w:r>
      <w:r w:rsidRPr="00E30F42">
        <w:rPr>
          <w:rFonts w:ascii="Times New Roman" w:hAnsi="Times New Roman" w:cs="Times New Roman"/>
          <w:sz w:val="24"/>
          <w:szCs w:val="24"/>
          <w:lang w:val="mn-MN"/>
        </w:rPr>
        <w:t xml:space="preserve">  багшийн албан тушаалын зэрэглэл, статус тогтоох асуудал гарч ирсэн. 1900 онд </w:t>
      </w:r>
      <w:r w:rsidRPr="00E30F42">
        <w:rPr>
          <w:rFonts w:ascii="Times New Roman" w:hAnsi="Times New Roman" w:cs="Times New Roman"/>
          <w:sz w:val="24"/>
          <w:szCs w:val="24"/>
        </w:rPr>
        <w:t>Harvard, Columbia, Chicago-</w:t>
      </w:r>
      <w:r w:rsidRPr="00E30F42">
        <w:rPr>
          <w:rFonts w:ascii="Times New Roman" w:hAnsi="Times New Roman" w:cs="Times New Roman"/>
          <w:sz w:val="24"/>
          <w:szCs w:val="24"/>
          <w:lang w:val="mn-MN"/>
        </w:rPr>
        <w:t xml:space="preserve">ийн их сургуулийн захирлууд нэгдэн ямар ч хандивлагч, хөрөнгө оруулагчид нь их сургуулийн багш нарын гаргасан шийдвэрийг эсэргүүцэх боломжгүй гэдгийг санал нэгтэй баталжээ. 1915 онд үүнийг Америкийн их сургуулийн профессоруудын холбоо </w:t>
      </w:r>
      <w:r w:rsidRPr="00E30F42">
        <w:rPr>
          <w:rFonts w:ascii="Times New Roman" w:hAnsi="Times New Roman" w:cs="Times New Roman"/>
          <w:sz w:val="24"/>
          <w:szCs w:val="24"/>
        </w:rPr>
        <w:t>(AUUP)</w:t>
      </w:r>
      <w:r w:rsidRPr="00E30F42">
        <w:rPr>
          <w:rFonts w:ascii="Times New Roman" w:hAnsi="Times New Roman" w:cs="Times New Roman"/>
          <w:sz w:val="24"/>
          <w:szCs w:val="24"/>
          <w:lang w:val="mn-MN"/>
        </w:rPr>
        <w:t xml:space="preserve"> дэмжиж улмаар академик эрх чөлөөг хангах болон багш нарын албан тушаалд байх хугацааны талаар  зөвлөмж гаргасан. Уг зөвлөмжид:</w:t>
      </w:r>
    </w:p>
    <w:p w14:paraId="55354DE2" w14:textId="77777777" w:rsidR="00FE25FF" w:rsidRPr="00E30F42" w:rsidRDefault="00FE25FF" w:rsidP="00FE25FF">
      <w:pPr>
        <w:pStyle w:val="ListParagraph"/>
        <w:numPr>
          <w:ilvl w:val="0"/>
          <w:numId w:val="8"/>
        </w:numPr>
        <w:tabs>
          <w:tab w:val="left" w:pos="1080"/>
          <w:tab w:val="left" w:pos="1440"/>
        </w:tabs>
        <w:spacing w:line="240" w:lineRule="auto"/>
        <w:ind w:left="0" w:firstLine="720"/>
        <w:jc w:val="both"/>
        <w:rPr>
          <w:rFonts w:cs="Times New Roman"/>
          <w:szCs w:val="24"/>
          <w:lang w:val="mn-MN"/>
        </w:rPr>
      </w:pPr>
      <w:r w:rsidRPr="00E30F42">
        <w:rPr>
          <w:rFonts w:cs="Times New Roman"/>
          <w:szCs w:val="24"/>
          <w:lang w:val="mn-MN"/>
        </w:rPr>
        <w:t>Их сургуулийн ивээн тэтгэгчид нь багш нарын цалинг нэмэгдүүлэх асуудалд оролцох эрхтэй харин тэдний ажил эрхлэх, академик эрх чөлөө, албан тушаалд оролцох эрхгүй.</w:t>
      </w:r>
    </w:p>
    <w:p w14:paraId="78F9C70B" w14:textId="77777777" w:rsidR="00FE25FF" w:rsidRPr="00E30F42" w:rsidRDefault="00FE25FF" w:rsidP="00FE25FF">
      <w:pPr>
        <w:pStyle w:val="ListParagraph"/>
        <w:numPr>
          <w:ilvl w:val="0"/>
          <w:numId w:val="8"/>
        </w:numPr>
        <w:tabs>
          <w:tab w:val="left" w:pos="1080"/>
          <w:tab w:val="left" w:pos="1440"/>
        </w:tabs>
        <w:spacing w:line="240" w:lineRule="auto"/>
        <w:ind w:left="0" w:firstLine="720"/>
        <w:jc w:val="both"/>
        <w:rPr>
          <w:rFonts w:cs="Times New Roman"/>
          <w:szCs w:val="24"/>
          <w:lang w:val="mn-MN"/>
        </w:rPr>
      </w:pPr>
      <w:r w:rsidRPr="00E30F42">
        <w:rPr>
          <w:rFonts w:cs="Times New Roman"/>
          <w:szCs w:val="24"/>
          <w:lang w:val="mn-MN"/>
        </w:rPr>
        <w:t xml:space="preserve">Багш нарын албан тушаал, академик эрх чөлөөг зөвхөн профессор багш нараас бүрдсэн холбоо, бүлэг шийдвэрлэнэ гэсэн үндсэн чиглэлийг гаргасан. Энэ үеэс хойш дэлхийн ихэнх их сургуулиуд багшийн албан тушаалын ангиллыг бий болгож тус бүрт тохирсон шалгуурыг гарган түүний дагуу багшийг сонгон ажиллуулах тогтолцоо илүү тодорхой хөгжжээ. Америкад 1970-аад оноос их, дээд сургуулийн ангилал, онцлогийг ялгах зорилготой “Карнегийн комисс” үүсгэн байгуулагдсан бөгөөд  их сургуулиудыг судалгаа, сургалт, үйлдвэрлэл, технологийн зэрэг чиглэлээр нь ангилан хөгжүүлсэн. </w:t>
      </w:r>
    </w:p>
    <w:p w14:paraId="2155D913"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Одоо Америкад их, дээд сургууль нь судалгааны эсвэл сургалтын, хослуулсан, энтерпренер гэх зэрэг өөр өөрийн онцлогоор хөгжин явж байна. Бид энд жишээ болгон АНУ-ын Колорадагийн их сургуулийн академик бүтцийг авч үзлээ. </w:t>
      </w:r>
    </w:p>
    <w:p w14:paraId="75756CEA" w14:textId="77777777" w:rsidR="00FE25FF" w:rsidRPr="00E30F42" w:rsidRDefault="00FE25FF" w:rsidP="00FE25FF">
      <w:pPr>
        <w:tabs>
          <w:tab w:val="left" w:pos="1440"/>
        </w:tabs>
        <w:spacing w:line="240" w:lineRule="auto"/>
        <w:ind w:firstLine="720"/>
        <w:jc w:val="both"/>
        <w:rPr>
          <w:rFonts w:ascii="Times New Roman" w:hAnsi="Times New Roman" w:cs="Times New Roman"/>
          <w:i/>
          <w:sz w:val="24"/>
          <w:szCs w:val="24"/>
          <w:lang w:val="mn-MN"/>
        </w:rPr>
      </w:pPr>
      <w:r w:rsidRPr="00E30F42">
        <w:rPr>
          <w:rFonts w:ascii="Times New Roman" w:hAnsi="Times New Roman" w:cs="Times New Roman"/>
          <w:sz w:val="24"/>
          <w:szCs w:val="24"/>
          <w:lang w:val="mn-MN"/>
        </w:rPr>
        <w:t xml:space="preserve">  </w:t>
      </w:r>
      <w:r w:rsidRPr="00E30F42">
        <w:rPr>
          <w:rFonts w:ascii="Times New Roman" w:hAnsi="Times New Roman" w:cs="Times New Roman"/>
          <w:i/>
          <w:sz w:val="24"/>
          <w:szCs w:val="24"/>
          <w:lang w:val="mn-MN"/>
        </w:rPr>
        <w:t>АНУ-ын Колорадогийн Их сургуулийн багш нарын албан тушаалын ангилал</w:t>
      </w:r>
      <w:sdt>
        <w:sdtPr>
          <w:rPr>
            <w:rFonts w:ascii="Times New Roman" w:hAnsi="Times New Roman" w:cs="Times New Roman"/>
            <w:i/>
            <w:sz w:val="24"/>
            <w:szCs w:val="24"/>
            <w:lang w:val="mn-MN"/>
          </w:rPr>
          <w:id w:val="-153071039"/>
          <w:citation/>
        </w:sdtPr>
        <w:sdtContent>
          <w:r w:rsidRPr="00E30F42">
            <w:rPr>
              <w:rFonts w:ascii="Times New Roman" w:hAnsi="Times New Roman" w:cs="Times New Roman"/>
              <w:i/>
              <w:sz w:val="24"/>
              <w:szCs w:val="24"/>
              <w:lang w:val="mn-MN"/>
            </w:rPr>
            <w:fldChar w:fldCharType="begin"/>
          </w:r>
          <w:r w:rsidRPr="00E30F42">
            <w:rPr>
              <w:rFonts w:ascii="Times New Roman" w:hAnsi="Times New Roman" w:cs="Times New Roman"/>
              <w:i/>
              <w:sz w:val="24"/>
              <w:szCs w:val="24"/>
            </w:rPr>
            <w:instrText xml:space="preserve">CITATION fac13 \l 1033 </w:instrText>
          </w:r>
          <w:r w:rsidRPr="00E30F42">
            <w:rPr>
              <w:rFonts w:ascii="Times New Roman" w:hAnsi="Times New Roman" w:cs="Times New Roman"/>
              <w:i/>
              <w:sz w:val="24"/>
              <w:szCs w:val="24"/>
              <w:lang w:val="mn-MN"/>
            </w:rPr>
            <w:fldChar w:fldCharType="separate"/>
          </w:r>
          <w:r>
            <w:rPr>
              <w:rFonts w:ascii="Times New Roman" w:hAnsi="Times New Roman" w:cs="Times New Roman"/>
              <w:i/>
              <w:noProof/>
              <w:sz w:val="24"/>
              <w:szCs w:val="24"/>
            </w:rPr>
            <w:t xml:space="preserve"> </w:t>
          </w:r>
          <w:r w:rsidRPr="00563E92">
            <w:rPr>
              <w:rFonts w:ascii="Times New Roman" w:hAnsi="Times New Roman" w:cs="Times New Roman"/>
              <w:noProof/>
              <w:sz w:val="24"/>
              <w:szCs w:val="24"/>
            </w:rPr>
            <w:t>(Coloradо, 2013)</w:t>
          </w:r>
          <w:r w:rsidRPr="00E30F42">
            <w:rPr>
              <w:rFonts w:ascii="Times New Roman" w:hAnsi="Times New Roman" w:cs="Times New Roman"/>
              <w:i/>
              <w:sz w:val="24"/>
              <w:szCs w:val="24"/>
              <w:lang w:val="mn-MN"/>
            </w:rPr>
            <w:fldChar w:fldCharType="end"/>
          </w:r>
        </w:sdtContent>
      </w:sdt>
      <w:r w:rsidRPr="00E30F42">
        <w:rPr>
          <w:rFonts w:ascii="Times New Roman" w:hAnsi="Times New Roman" w:cs="Times New Roman"/>
          <w:i/>
          <w:sz w:val="24"/>
          <w:szCs w:val="24"/>
          <w:lang w:val="mn-MN"/>
        </w:rPr>
        <w:t xml:space="preserve"> </w:t>
      </w:r>
    </w:p>
    <w:p w14:paraId="34E043FF" w14:textId="77777777" w:rsidR="00FE25FF" w:rsidRPr="00E30F42" w:rsidRDefault="00FE25FF" w:rsidP="00FE25FF">
      <w:pPr>
        <w:tabs>
          <w:tab w:val="left" w:pos="1440"/>
          <w:tab w:val="left" w:pos="1847"/>
        </w:tabs>
        <w:spacing w:line="240" w:lineRule="auto"/>
        <w:ind w:firstLine="360"/>
        <w:jc w:val="both"/>
        <w:rPr>
          <w:rFonts w:ascii="Times New Roman" w:hAnsi="Times New Roman" w:cs="Times New Roman"/>
          <w:b/>
          <w:i/>
          <w:sz w:val="24"/>
          <w:szCs w:val="24"/>
        </w:rPr>
      </w:pPr>
      <w:r w:rsidRPr="00E30F42">
        <w:rPr>
          <w:rFonts w:ascii="Times New Roman" w:hAnsi="Times New Roman" w:cs="Times New Roman"/>
          <w:i/>
          <w:sz w:val="24"/>
          <w:szCs w:val="24"/>
          <w:lang w:val="mn-MN"/>
        </w:rPr>
        <w:t>Хүснэгт.1</w:t>
      </w:r>
      <w:r w:rsidRPr="00E30F42">
        <w:rPr>
          <w:rFonts w:ascii="Times New Roman" w:hAnsi="Times New Roman" w:cs="Times New Roman"/>
          <w:i/>
          <w:sz w:val="24"/>
          <w:szCs w:val="24"/>
          <w:lang w:val="mn-MN"/>
        </w:rPr>
        <w:tab/>
      </w:r>
    </w:p>
    <w:tbl>
      <w:tblPr>
        <w:tblStyle w:val="TableGrid"/>
        <w:tblW w:w="0" w:type="auto"/>
        <w:tblInd w:w="450" w:type="dxa"/>
        <w:tblLook w:val="04A0" w:firstRow="1" w:lastRow="0" w:firstColumn="1" w:lastColumn="0" w:noHBand="0" w:noVBand="1"/>
      </w:tblPr>
      <w:tblGrid>
        <w:gridCol w:w="4402"/>
        <w:gridCol w:w="4498"/>
      </w:tblGrid>
      <w:tr w:rsidR="00FE25FF" w:rsidRPr="00E30F42" w14:paraId="30B864B7" w14:textId="77777777" w:rsidTr="002C5A6C">
        <w:tc>
          <w:tcPr>
            <w:tcW w:w="9396" w:type="dxa"/>
            <w:gridSpan w:val="2"/>
            <w:shd w:val="clear" w:color="auto" w:fill="D9D9D9" w:themeFill="background1" w:themeFillShade="D9"/>
          </w:tcPr>
          <w:p w14:paraId="1A9D5233" w14:textId="77777777" w:rsidR="00FE25FF" w:rsidRPr="00E30F42" w:rsidRDefault="00FE25FF" w:rsidP="002C5A6C">
            <w:pPr>
              <w:tabs>
                <w:tab w:val="left" w:pos="1440"/>
              </w:tabs>
              <w:ind w:firstLine="360"/>
              <w:jc w:val="center"/>
              <w:rPr>
                <w:rFonts w:ascii="Times New Roman" w:hAnsi="Times New Roman" w:cs="Times New Roman"/>
                <w:b/>
                <w:sz w:val="24"/>
                <w:szCs w:val="24"/>
              </w:rPr>
            </w:pPr>
            <w:r w:rsidRPr="00E30F42">
              <w:rPr>
                <w:rFonts w:ascii="Times New Roman" w:hAnsi="Times New Roman" w:cs="Times New Roman"/>
                <w:b/>
                <w:sz w:val="24"/>
                <w:szCs w:val="24"/>
              </w:rPr>
              <w:t>Research faculty</w:t>
            </w:r>
          </w:p>
          <w:p w14:paraId="206729B9" w14:textId="77777777" w:rsidR="00FE25FF" w:rsidRPr="00E30F42" w:rsidRDefault="00FE25FF" w:rsidP="002C5A6C">
            <w:pPr>
              <w:tabs>
                <w:tab w:val="left" w:pos="1440"/>
              </w:tabs>
              <w:ind w:firstLine="360"/>
              <w:jc w:val="center"/>
              <w:rPr>
                <w:rFonts w:ascii="Times New Roman" w:hAnsi="Times New Roman" w:cs="Times New Roman"/>
                <w:b/>
                <w:sz w:val="24"/>
                <w:szCs w:val="24"/>
                <w:lang w:val="mn-MN"/>
              </w:rPr>
            </w:pPr>
            <w:r w:rsidRPr="00E30F42">
              <w:rPr>
                <w:rFonts w:ascii="Times New Roman" w:hAnsi="Times New Roman" w:cs="Times New Roman"/>
                <w:b/>
                <w:sz w:val="24"/>
                <w:szCs w:val="24"/>
                <w:lang w:val="mn-MN"/>
              </w:rPr>
              <w:t>Судлаач багш нар</w:t>
            </w:r>
          </w:p>
        </w:tc>
      </w:tr>
      <w:tr w:rsidR="00FE25FF" w:rsidRPr="00E30F42" w14:paraId="168C1F86" w14:textId="77777777" w:rsidTr="002C5A6C">
        <w:tc>
          <w:tcPr>
            <w:tcW w:w="4661" w:type="dxa"/>
          </w:tcPr>
          <w:p w14:paraId="2CFC9766" w14:textId="77777777" w:rsidR="00FE25FF" w:rsidRPr="00E30F42" w:rsidRDefault="00FE25FF" w:rsidP="002C5A6C">
            <w:pPr>
              <w:tabs>
                <w:tab w:val="left" w:pos="1440"/>
              </w:tabs>
              <w:ind w:firstLine="360"/>
              <w:jc w:val="both"/>
              <w:rPr>
                <w:rFonts w:ascii="Times New Roman" w:hAnsi="Times New Roman" w:cs="Times New Roman"/>
                <w:sz w:val="24"/>
                <w:szCs w:val="24"/>
              </w:rPr>
            </w:pPr>
            <w:r w:rsidRPr="00E30F42">
              <w:rPr>
                <w:rFonts w:ascii="Times New Roman" w:hAnsi="Times New Roman" w:cs="Times New Roman"/>
                <w:sz w:val="24"/>
                <w:szCs w:val="24"/>
              </w:rPr>
              <w:t xml:space="preserve">Research professor </w:t>
            </w:r>
          </w:p>
        </w:tc>
        <w:tc>
          <w:tcPr>
            <w:tcW w:w="4735" w:type="dxa"/>
          </w:tcPr>
          <w:p w14:paraId="7148F280"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Судалгааны профессор,</w:t>
            </w:r>
          </w:p>
        </w:tc>
      </w:tr>
      <w:tr w:rsidR="00FE25FF" w:rsidRPr="00E30F42" w14:paraId="32B2D992" w14:textId="77777777" w:rsidTr="002C5A6C">
        <w:tc>
          <w:tcPr>
            <w:tcW w:w="4661" w:type="dxa"/>
          </w:tcPr>
          <w:p w14:paraId="18A2174C"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rPr>
              <w:t>Research associate professor</w:t>
            </w:r>
          </w:p>
        </w:tc>
        <w:tc>
          <w:tcPr>
            <w:tcW w:w="4735" w:type="dxa"/>
          </w:tcPr>
          <w:p w14:paraId="1D647A41"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Судалгааны дэд профессор,</w:t>
            </w:r>
          </w:p>
        </w:tc>
      </w:tr>
      <w:tr w:rsidR="00FE25FF" w:rsidRPr="00E30F42" w14:paraId="3977FFE1" w14:textId="77777777" w:rsidTr="002C5A6C">
        <w:tc>
          <w:tcPr>
            <w:tcW w:w="4661" w:type="dxa"/>
          </w:tcPr>
          <w:p w14:paraId="1251743C"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rPr>
              <w:t>Research assistant professor</w:t>
            </w:r>
          </w:p>
        </w:tc>
        <w:tc>
          <w:tcPr>
            <w:tcW w:w="4735" w:type="dxa"/>
          </w:tcPr>
          <w:p w14:paraId="59E4CC21"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Судалгааны туслах профессор</w:t>
            </w:r>
          </w:p>
        </w:tc>
      </w:tr>
      <w:tr w:rsidR="00FE25FF" w:rsidRPr="00E30F42" w14:paraId="490EF3D4" w14:textId="77777777" w:rsidTr="002C5A6C">
        <w:tc>
          <w:tcPr>
            <w:tcW w:w="4661" w:type="dxa"/>
          </w:tcPr>
          <w:p w14:paraId="4BA0382C" w14:textId="77777777" w:rsidR="00FE25FF" w:rsidRPr="00E30F42" w:rsidRDefault="00FE25FF" w:rsidP="002C5A6C">
            <w:pPr>
              <w:tabs>
                <w:tab w:val="left" w:pos="1440"/>
              </w:tabs>
              <w:jc w:val="both"/>
              <w:rPr>
                <w:rFonts w:ascii="Times New Roman" w:hAnsi="Times New Roman" w:cs="Times New Roman"/>
                <w:sz w:val="24"/>
                <w:szCs w:val="24"/>
              </w:rPr>
            </w:pPr>
            <w:r w:rsidRPr="00E30F42">
              <w:rPr>
                <w:rFonts w:ascii="Times New Roman" w:hAnsi="Times New Roman" w:cs="Times New Roman"/>
                <w:sz w:val="24"/>
                <w:szCs w:val="24"/>
              </w:rPr>
              <w:t>Research senior instructor and research instructor</w:t>
            </w:r>
          </w:p>
        </w:tc>
        <w:tc>
          <w:tcPr>
            <w:tcW w:w="4735" w:type="dxa"/>
          </w:tcPr>
          <w:p w14:paraId="5C97DD3A" w14:textId="77777777" w:rsidR="00FE25FF" w:rsidRPr="00E30F42" w:rsidRDefault="00FE25FF" w:rsidP="002C5A6C">
            <w:pPr>
              <w:tabs>
                <w:tab w:val="left" w:pos="1440"/>
              </w:tabs>
              <w:jc w:val="both"/>
              <w:rPr>
                <w:rFonts w:ascii="Times New Roman" w:hAnsi="Times New Roman" w:cs="Times New Roman"/>
                <w:sz w:val="24"/>
                <w:szCs w:val="24"/>
              </w:rPr>
            </w:pPr>
            <w:r w:rsidRPr="00E30F42">
              <w:rPr>
                <w:rFonts w:ascii="Times New Roman" w:hAnsi="Times New Roman" w:cs="Times New Roman"/>
                <w:sz w:val="24"/>
                <w:szCs w:val="24"/>
                <w:lang w:val="mn-MN"/>
              </w:rPr>
              <w:t>Эрдэм шинжилгээний ахлах  болон эрдэм шинжилгээний туслах ажилтан, багш</w:t>
            </w:r>
          </w:p>
        </w:tc>
      </w:tr>
    </w:tbl>
    <w:p w14:paraId="5DACEC39" w14:textId="77777777" w:rsidR="00FE25FF" w:rsidRPr="00E30F42" w:rsidRDefault="00FE25FF" w:rsidP="00FE25FF">
      <w:pPr>
        <w:tabs>
          <w:tab w:val="left" w:pos="1440"/>
        </w:tabs>
        <w:spacing w:line="240" w:lineRule="auto"/>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Судалгааны дээрх ангилалд байгаа профессорууд нь их сургуулийн судалгаа, төслийн ажлыг хариуцах бөгөөд сургалтын ажилд хязгаарлагдмал оролцдог. </w:t>
      </w:r>
    </w:p>
    <w:p w14:paraId="4DEF293D" w14:textId="77777777" w:rsidR="00FE25FF" w:rsidRPr="00E30F42" w:rsidRDefault="00FE25FF" w:rsidP="00FE25FF">
      <w:pPr>
        <w:tabs>
          <w:tab w:val="left" w:pos="1440"/>
        </w:tabs>
        <w:spacing w:line="240" w:lineRule="auto"/>
        <w:ind w:firstLine="360"/>
        <w:jc w:val="both"/>
        <w:rPr>
          <w:rFonts w:ascii="Times New Roman" w:hAnsi="Times New Roman" w:cs="Times New Roman"/>
          <w:i/>
          <w:sz w:val="24"/>
          <w:szCs w:val="24"/>
          <w:lang w:val="mn-MN"/>
        </w:rPr>
      </w:pPr>
      <w:r w:rsidRPr="00E30F42">
        <w:rPr>
          <w:rFonts w:ascii="Times New Roman" w:hAnsi="Times New Roman" w:cs="Times New Roman"/>
          <w:i/>
          <w:sz w:val="24"/>
          <w:szCs w:val="24"/>
          <w:lang w:val="mn-MN"/>
        </w:rPr>
        <w:lastRenderedPageBreak/>
        <w:t>Хүснэгт: 2</w:t>
      </w:r>
    </w:p>
    <w:tbl>
      <w:tblPr>
        <w:tblStyle w:val="TableGrid"/>
        <w:tblW w:w="0" w:type="auto"/>
        <w:tblInd w:w="450" w:type="dxa"/>
        <w:tblLook w:val="04A0" w:firstRow="1" w:lastRow="0" w:firstColumn="1" w:lastColumn="0" w:noHBand="0" w:noVBand="1"/>
      </w:tblPr>
      <w:tblGrid>
        <w:gridCol w:w="4425"/>
        <w:gridCol w:w="4475"/>
      </w:tblGrid>
      <w:tr w:rsidR="00FE25FF" w:rsidRPr="00E30F42" w14:paraId="0F3E95EF" w14:textId="77777777" w:rsidTr="002C5A6C">
        <w:tc>
          <w:tcPr>
            <w:tcW w:w="9396" w:type="dxa"/>
            <w:gridSpan w:val="2"/>
            <w:shd w:val="clear" w:color="auto" w:fill="D9D9D9" w:themeFill="background1" w:themeFillShade="D9"/>
          </w:tcPr>
          <w:p w14:paraId="6B0DDD87" w14:textId="77777777" w:rsidR="00FE25FF" w:rsidRPr="00E30F42" w:rsidRDefault="00FE25FF" w:rsidP="002C5A6C">
            <w:pPr>
              <w:tabs>
                <w:tab w:val="left" w:pos="1440"/>
              </w:tabs>
              <w:ind w:firstLine="360"/>
              <w:jc w:val="both"/>
              <w:rPr>
                <w:rFonts w:ascii="Times New Roman" w:hAnsi="Times New Roman" w:cs="Times New Roman"/>
                <w:b/>
                <w:sz w:val="24"/>
                <w:szCs w:val="24"/>
                <w:lang w:val="mn-MN"/>
              </w:rPr>
            </w:pPr>
            <w:r w:rsidRPr="00E30F42">
              <w:rPr>
                <w:rFonts w:ascii="Times New Roman" w:hAnsi="Times New Roman" w:cs="Times New Roman"/>
                <w:b/>
                <w:sz w:val="24"/>
                <w:szCs w:val="24"/>
              </w:rPr>
              <w:t xml:space="preserve">               </w:t>
            </w:r>
            <w:r w:rsidRPr="00E30F42">
              <w:rPr>
                <w:rFonts w:ascii="Times New Roman" w:hAnsi="Times New Roman" w:cs="Times New Roman"/>
                <w:b/>
                <w:sz w:val="24"/>
                <w:szCs w:val="24"/>
                <w:lang w:val="mn-MN"/>
              </w:rPr>
              <w:t xml:space="preserve">                                    </w:t>
            </w:r>
            <w:r w:rsidRPr="00E30F42">
              <w:rPr>
                <w:rFonts w:ascii="Times New Roman" w:hAnsi="Times New Roman" w:cs="Times New Roman"/>
                <w:b/>
                <w:sz w:val="24"/>
                <w:szCs w:val="24"/>
              </w:rPr>
              <w:t>Tenure track faculty</w:t>
            </w:r>
          </w:p>
          <w:p w14:paraId="0DF8721E" w14:textId="77777777" w:rsidR="00FE25FF" w:rsidRPr="00E30F42" w:rsidRDefault="00FE25FF" w:rsidP="002C5A6C">
            <w:pPr>
              <w:tabs>
                <w:tab w:val="left" w:pos="1440"/>
              </w:tabs>
              <w:ind w:firstLine="360"/>
              <w:jc w:val="center"/>
              <w:rPr>
                <w:rFonts w:ascii="Times New Roman" w:hAnsi="Times New Roman" w:cs="Times New Roman"/>
                <w:sz w:val="24"/>
                <w:szCs w:val="24"/>
                <w:lang w:val="mn-MN"/>
              </w:rPr>
            </w:pPr>
            <w:r w:rsidRPr="00E30F42">
              <w:rPr>
                <w:rFonts w:ascii="Times New Roman" w:hAnsi="Times New Roman" w:cs="Times New Roman"/>
                <w:b/>
                <w:sz w:val="24"/>
                <w:szCs w:val="24"/>
                <w:lang w:val="mn-MN"/>
              </w:rPr>
              <w:t>Багш нарын албан тушаалын зэрэглэл</w:t>
            </w:r>
          </w:p>
        </w:tc>
      </w:tr>
      <w:tr w:rsidR="00FE25FF" w:rsidRPr="00E30F42" w14:paraId="540E581C" w14:textId="77777777" w:rsidTr="002C5A6C">
        <w:tc>
          <w:tcPr>
            <w:tcW w:w="4661" w:type="dxa"/>
          </w:tcPr>
          <w:p w14:paraId="6F0AABAB" w14:textId="77777777" w:rsidR="00FE25FF" w:rsidRPr="00E30F42" w:rsidRDefault="00FE25FF" w:rsidP="002C5A6C">
            <w:pPr>
              <w:tabs>
                <w:tab w:val="left" w:pos="1440"/>
              </w:tabs>
              <w:ind w:firstLine="360"/>
              <w:jc w:val="both"/>
              <w:rPr>
                <w:rFonts w:ascii="Times New Roman" w:hAnsi="Times New Roman" w:cs="Times New Roman"/>
                <w:sz w:val="24"/>
                <w:szCs w:val="24"/>
              </w:rPr>
            </w:pPr>
            <w:r w:rsidRPr="00E30F42">
              <w:rPr>
                <w:rFonts w:ascii="Times New Roman" w:hAnsi="Times New Roman" w:cs="Times New Roman"/>
                <w:sz w:val="24"/>
                <w:szCs w:val="24"/>
              </w:rPr>
              <w:t>Assistant professor</w:t>
            </w:r>
          </w:p>
        </w:tc>
        <w:tc>
          <w:tcPr>
            <w:tcW w:w="4735" w:type="dxa"/>
          </w:tcPr>
          <w:p w14:paraId="0768A1A8"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Туслах профессор </w:t>
            </w:r>
          </w:p>
        </w:tc>
      </w:tr>
      <w:tr w:rsidR="00FE25FF" w:rsidRPr="00E30F42" w14:paraId="7032108A" w14:textId="77777777" w:rsidTr="002C5A6C">
        <w:tc>
          <w:tcPr>
            <w:tcW w:w="4661" w:type="dxa"/>
          </w:tcPr>
          <w:p w14:paraId="45571F36" w14:textId="77777777" w:rsidR="00FE25FF" w:rsidRPr="00E30F42" w:rsidRDefault="00FE25FF" w:rsidP="002C5A6C">
            <w:pPr>
              <w:tabs>
                <w:tab w:val="left" w:pos="1440"/>
              </w:tabs>
              <w:ind w:firstLine="360"/>
              <w:jc w:val="both"/>
              <w:rPr>
                <w:rFonts w:ascii="Times New Roman" w:hAnsi="Times New Roman" w:cs="Times New Roman"/>
                <w:sz w:val="24"/>
                <w:szCs w:val="24"/>
              </w:rPr>
            </w:pPr>
            <w:r w:rsidRPr="00E30F42">
              <w:rPr>
                <w:rFonts w:ascii="Times New Roman" w:hAnsi="Times New Roman" w:cs="Times New Roman"/>
                <w:sz w:val="24"/>
                <w:szCs w:val="24"/>
              </w:rPr>
              <w:t xml:space="preserve">Associate professor </w:t>
            </w:r>
          </w:p>
        </w:tc>
        <w:tc>
          <w:tcPr>
            <w:tcW w:w="4735" w:type="dxa"/>
          </w:tcPr>
          <w:p w14:paraId="3A5529D1"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Дэд профессор</w:t>
            </w:r>
          </w:p>
        </w:tc>
      </w:tr>
      <w:tr w:rsidR="00FE25FF" w:rsidRPr="00E30F42" w14:paraId="1BEA9EB1" w14:textId="77777777" w:rsidTr="002C5A6C">
        <w:tc>
          <w:tcPr>
            <w:tcW w:w="4661" w:type="dxa"/>
          </w:tcPr>
          <w:p w14:paraId="4BB16143"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rPr>
              <w:t>Professor</w:t>
            </w:r>
          </w:p>
        </w:tc>
        <w:tc>
          <w:tcPr>
            <w:tcW w:w="4735" w:type="dxa"/>
          </w:tcPr>
          <w:p w14:paraId="6EED2D2A"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Профессор </w:t>
            </w:r>
          </w:p>
        </w:tc>
      </w:tr>
      <w:tr w:rsidR="00FE25FF" w:rsidRPr="00E30F42" w14:paraId="498C824B" w14:textId="77777777" w:rsidTr="002C5A6C">
        <w:tc>
          <w:tcPr>
            <w:tcW w:w="4661" w:type="dxa"/>
          </w:tcPr>
          <w:p w14:paraId="12D6BE80" w14:textId="77777777" w:rsidR="00FE25FF" w:rsidRPr="00E30F42" w:rsidRDefault="00FE25FF" w:rsidP="002C5A6C">
            <w:pPr>
              <w:tabs>
                <w:tab w:val="left" w:pos="1440"/>
              </w:tabs>
              <w:ind w:firstLine="360"/>
              <w:jc w:val="both"/>
              <w:rPr>
                <w:rFonts w:ascii="Times New Roman" w:hAnsi="Times New Roman" w:cs="Times New Roman"/>
                <w:sz w:val="24"/>
                <w:szCs w:val="24"/>
              </w:rPr>
            </w:pPr>
            <w:r w:rsidRPr="00E30F42">
              <w:rPr>
                <w:rFonts w:ascii="Times New Roman" w:hAnsi="Times New Roman" w:cs="Times New Roman"/>
                <w:sz w:val="24"/>
                <w:szCs w:val="24"/>
              </w:rPr>
              <w:t>Distinguished professor</w:t>
            </w:r>
          </w:p>
        </w:tc>
        <w:tc>
          <w:tcPr>
            <w:tcW w:w="4735" w:type="dxa"/>
          </w:tcPr>
          <w:p w14:paraId="5356F1F1"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Хүндэт профессор</w:t>
            </w:r>
          </w:p>
        </w:tc>
      </w:tr>
      <w:tr w:rsidR="00FE25FF" w:rsidRPr="00E30F42" w14:paraId="7F6D2BDF" w14:textId="77777777" w:rsidTr="002C5A6C">
        <w:tc>
          <w:tcPr>
            <w:tcW w:w="4661" w:type="dxa"/>
          </w:tcPr>
          <w:p w14:paraId="2E6F459F" w14:textId="77777777" w:rsidR="00FE25FF" w:rsidRPr="00E30F42" w:rsidRDefault="00FE25FF" w:rsidP="002C5A6C">
            <w:pPr>
              <w:tabs>
                <w:tab w:val="left" w:pos="1440"/>
              </w:tabs>
              <w:ind w:firstLine="360"/>
              <w:rPr>
                <w:rFonts w:ascii="Times New Roman" w:hAnsi="Times New Roman" w:cs="Times New Roman"/>
                <w:sz w:val="24"/>
                <w:szCs w:val="24"/>
              </w:rPr>
            </w:pPr>
            <w:r w:rsidRPr="00E30F42">
              <w:rPr>
                <w:rFonts w:ascii="Times New Roman" w:hAnsi="Times New Roman" w:cs="Times New Roman"/>
                <w:sz w:val="24"/>
                <w:szCs w:val="24"/>
              </w:rPr>
              <w:t>Emeritus  professor</w:t>
            </w:r>
          </w:p>
        </w:tc>
        <w:tc>
          <w:tcPr>
            <w:tcW w:w="4735" w:type="dxa"/>
          </w:tcPr>
          <w:p w14:paraId="7DCEBE73" w14:textId="77777777" w:rsidR="00FE25FF" w:rsidRPr="00E30F42" w:rsidRDefault="00FE25FF" w:rsidP="002C5A6C">
            <w:pPr>
              <w:tabs>
                <w:tab w:val="left" w:pos="1440"/>
              </w:tabs>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Зөвлөх профессор \чөлөөнд гарсан \</w:t>
            </w:r>
          </w:p>
        </w:tc>
      </w:tr>
    </w:tbl>
    <w:p w14:paraId="1A391202" w14:textId="77777777" w:rsidR="00FE25FF" w:rsidRPr="00E30F42" w:rsidRDefault="00FE25FF" w:rsidP="00FE25FF">
      <w:pPr>
        <w:tabs>
          <w:tab w:val="left" w:pos="1440"/>
        </w:tabs>
        <w:spacing w:line="240" w:lineRule="auto"/>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 Энэ шатлал нь багш нарын  албан тушаалын зэрэглэл, ангилал бөгөөд энэ системээр явж байгаа багш нар сургалтын үйл ажиллагаанд голлон оролцдог. </w:t>
      </w:r>
    </w:p>
    <w:p w14:paraId="1A74A448" w14:textId="77777777" w:rsidR="00FE25FF" w:rsidRPr="00E30F42" w:rsidRDefault="00FE25FF" w:rsidP="00FE25FF">
      <w:pPr>
        <w:pStyle w:val="ListParagraph"/>
        <w:tabs>
          <w:tab w:val="left" w:pos="1440"/>
        </w:tabs>
        <w:spacing w:line="240" w:lineRule="auto"/>
        <w:ind w:left="0" w:firstLine="720"/>
        <w:rPr>
          <w:rFonts w:cs="Times New Roman"/>
          <w:b/>
          <w:szCs w:val="24"/>
          <w:u w:val="single"/>
          <w:lang w:val="mn-MN"/>
        </w:rPr>
      </w:pPr>
      <w:r w:rsidRPr="00E30F42">
        <w:rPr>
          <w:rFonts w:cs="Times New Roman"/>
          <w:b/>
          <w:szCs w:val="24"/>
          <w:u w:val="single"/>
          <w:lang w:val="mn-MN"/>
        </w:rPr>
        <w:t>Япон улсын туршлага:</w:t>
      </w:r>
    </w:p>
    <w:p w14:paraId="07CF1190" w14:textId="77777777" w:rsidR="00FE25FF" w:rsidRPr="00E30F42" w:rsidRDefault="00FE25FF" w:rsidP="00FE25FF">
      <w:pPr>
        <w:pStyle w:val="ListParagraph"/>
        <w:tabs>
          <w:tab w:val="left" w:pos="1440"/>
        </w:tabs>
        <w:spacing w:line="240" w:lineRule="auto"/>
        <w:ind w:left="0"/>
        <w:rPr>
          <w:rFonts w:cs="Times New Roman"/>
          <w:szCs w:val="24"/>
          <w:lang w:val="mn-MN"/>
        </w:rPr>
      </w:pPr>
      <w:r w:rsidRPr="00E30F42">
        <w:rPr>
          <w:rFonts w:cs="Times New Roman"/>
          <w:szCs w:val="24"/>
          <w:lang w:val="mn-MN"/>
        </w:rPr>
        <w:t>Японд жигд чанартай боловсрол олгох явдал нь дан ганц хичээл сургалттай холбоотой ч биш өнө эртнээс уламжилж ирсэн хүнийг хүн болгох үзэл нь маш өвөрмөц онцлогтой бөгөөд хүнийг сайн муу гэж ялгалгүй бүгдтэй нь жигд харьцаж, олонтой зохицож, олны дунд амьдарч сурах “Оролцооны аргыг” чухалчилж иржээ. Энэ нь аль ч шатны боловсролын байгууллага, аж ахуйн нэгжид байдаг мөрдөх ёстой зүйл гэж үздэг. Энэ бүхнийг баримтлахад сургах, “Япон хүн”-ий үзэл санааг бүх шатны сургуулиар олгоход боловсролын бодлогыг чиглүүлж, багшийг бэлтгэх, хөгжүүлэх, багшийг сонгон шалгаруулж авахад харгалзах гол үзүүлэлт болдог. Багшийн хөдөлмөрийг үнэлэх талаар:</w:t>
      </w:r>
    </w:p>
    <w:p w14:paraId="2DE165A7" w14:textId="77777777" w:rsidR="00FE25FF" w:rsidRPr="00E30F42" w:rsidRDefault="00FE25FF" w:rsidP="00FE25FF">
      <w:pPr>
        <w:pStyle w:val="ListParagraph"/>
        <w:numPr>
          <w:ilvl w:val="0"/>
          <w:numId w:val="1"/>
        </w:numPr>
        <w:tabs>
          <w:tab w:val="left" w:pos="1080"/>
        </w:tabs>
        <w:spacing w:line="240" w:lineRule="auto"/>
        <w:ind w:left="0" w:firstLine="810"/>
        <w:jc w:val="both"/>
        <w:rPr>
          <w:rFonts w:cs="Times New Roman"/>
          <w:szCs w:val="24"/>
          <w:lang w:val="mn-MN"/>
        </w:rPr>
      </w:pPr>
      <w:r w:rsidRPr="00E30F42">
        <w:rPr>
          <w:rFonts w:cs="Times New Roman"/>
          <w:szCs w:val="24"/>
          <w:lang w:val="mn-MN"/>
        </w:rPr>
        <w:t xml:space="preserve">Японд багшийн хөдөлмөрийг маш өндөр үнэлдэг бөгөөд багш болох оюутны талаар бүх талын судалгааг хийж ар гэр, аав ээжийнх нь талаар дэлгэрэнгүй судалгаа хийж үнэхээр багш болохыг мөрөөдөж явдаг тийм хүнийг багш бэлтгэх сургуульд өндөр шалгуураар авдаг байна. </w:t>
      </w:r>
    </w:p>
    <w:p w14:paraId="3B05952E" w14:textId="77777777" w:rsidR="00FE25FF" w:rsidRPr="00E30F42" w:rsidRDefault="00FE25FF" w:rsidP="00FE25FF">
      <w:pPr>
        <w:pStyle w:val="ListParagraph"/>
        <w:numPr>
          <w:ilvl w:val="0"/>
          <w:numId w:val="1"/>
        </w:numPr>
        <w:tabs>
          <w:tab w:val="left" w:pos="1080"/>
        </w:tabs>
        <w:spacing w:line="240" w:lineRule="auto"/>
        <w:ind w:left="0" w:firstLine="810"/>
        <w:jc w:val="both"/>
        <w:rPr>
          <w:rFonts w:cs="Times New Roman"/>
          <w:szCs w:val="24"/>
          <w:lang w:val="mn-MN"/>
        </w:rPr>
      </w:pPr>
      <w:r w:rsidRPr="00E30F42">
        <w:rPr>
          <w:rFonts w:cs="Times New Roman"/>
          <w:szCs w:val="24"/>
          <w:lang w:val="mn-MN"/>
        </w:rPr>
        <w:t>Багш гэр бүлд өссөн хүүхэд багшийн ажилд дуртай байвал, сэтгэл зүрхээ ажилдаа зориулж чаддаг гэж Японы судлаач  Акиро А</w:t>
      </w:r>
      <w:r w:rsidRPr="00E30F42">
        <w:rPr>
          <w:rFonts w:cs="Times New Roman"/>
          <w:szCs w:val="24"/>
        </w:rPr>
        <w:t xml:space="preserve"> (</w:t>
      </w:r>
      <w:r w:rsidRPr="00E30F42">
        <w:rPr>
          <w:rFonts w:cs="Times New Roman"/>
          <w:szCs w:val="24"/>
          <w:lang w:val="mn-MN"/>
        </w:rPr>
        <w:t>2010</w:t>
      </w:r>
      <w:r w:rsidRPr="00E30F42">
        <w:rPr>
          <w:rFonts w:cs="Times New Roman"/>
          <w:szCs w:val="24"/>
        </w:rPr>
        <w:t>)</w:t>
      </w:r>
      <w:r w:rsidRPr="00E30F42">
        <w:rPr>
          <w:rFonts w:cs="Times New Roman"/>
          <w:szCs w:val="24"/>
          <w:lang w:val="mn-MN"/>
        </w:rPr>
        <w:t xml:space="preserve"> дүгнэн бичжээ. Мөн төрийн бодлогоор багшийн ажлыг сурталчлан багшийн нэр хүндийг өндөрт өргөн багшаас бүх зүйл эхтэй гэдгийг хүүхдэд багаас нь мэдрүүлж, багшийг хүндэтгэх үзлийг төлөвшүүлэн хүмүүжүүлэхийг эрхэмлэдэг байна. </w:t>
      </w:r>
    </w:p>
    <w:p w14:paraId="6038D38F" w14:textId="77777777" w:rsidR="00FE25FF" w:rsidRPr="00E30F42" w:rsidRDefault="00FE25FF" w:rsidP="00FE25FF">
      <w:pPr>
        <w:pStyle w:val="ListParagraph"/>
        <w:numPr>
          <w:ilvl w:val="0"/>
          <w:numId w:val="1"/>
        </w:numPr>
        <w:tabs>
          <w:tab w:val="left" w:pos="1080"/>
        </w:tabs>
        <w:spacing w:line="240" w:lineRule="auto"/>
        <w:ind w:left="0" w:firstLine="810"/>
        <w:jc w:val="both"/>
        <w:rPr>
          <w:rFonts w:cs="Times New Roman"/>
          <w:szCs w:val="24"/>
          <w:lang w:val="mn-MN"/>
        </w:rPr>
      </w:pPr>
      <w:r w:rsidRPr="00E30F42">
        <w:rPr>
          <w:rFonts w:cs="Times New Roman"/>
          <w:szCs w:val="24"/>
          <w:lang w:val="mn-MN"/>
        </w:rPr>
        <w:t>Багшийн нэр хүндийг гутаахыг хориглон, багш нь авлигад өртөхөөс болгоомжлон багшийн цалинг төрийн албан хаагчдаас өндөр тогтоодог байна.</w:t>
      </w:r>
    </w:p>
    <w:p w14:paraId="7F190A95" w14:textId="77777777" w:rsidR="00FE25FF" w:rsidRPr="00E30F42" w:rsidRDefault="00FE25FF" w:rsidP="00FE25FF">
      <w:pPr>
        <w:pStyle w:val="ListParagraph"/>
        <w:tabs>
          <w:tab w:val="left" w:pos="1440"/>
        </w:tabs>
        <w:spacing w:line="240" w:lineRule="auto"/>
        <w:ind w:left="0" w:firstLine="720"/>
        <w:rPr>
          <w:rFonts w:cs="Times New Roman"/>
          <w:szCs w:val="24"/>
          <w:lang w:val="mn-MN"/>
        </w:rPr>
      </w:pPr>
      <w:r w:rsidRPr="00E30F42">
        <w:rPr>
          <w:rFonts w:cs="Times New Roman"/>
          <w:szCs w:val="24"/>
          <w:lang w:val="mn-MN"/>
        </w:rPr>
        <w:t>Энэ байдал нь багшийн нэр хүндийн баталгаа болохоос гадна өндөр цалин, ажилдаа сэтгэлээсээ хандах, өөрийгөө байнга хөгжүүлэх, тогтвортой ажиллах үндсэн нөхцөл болдог байна.</w:t>
      </w:r>
      <w:r w:rsidRPr="00E30F42">
        <w:rPr>
          <w:rFonts w:cs="Times New Roman"/>
          <w:szCs w:val="24"/>
        </w:rPr>
        <w:t xml:space="preserve"> </w:t>
      </w:r>
      <w:r w:rsidRPr="00E30F42">
        <w:rPr>
          <w:rFonts w:cs="Times New Roman"/>
          <w:szCs w:val="24"/>
          <w:lang w:val="mn-MN"/>
        </w:rPr>
        <w:t>Японд и</w:t>
      </w:r>
      <w:r w:rsidRPr="00E30F42">
        <w:rPr>
          <w:rFonts w:cs="Times New Roman"/>
          <w:szCs w:val="24"/>
        </w:rPr>
        <w:t xml:space="preserve">х </w:t>
      </w:r>
      <w:proofErr w:type="spellStart"/>
      <w:r w:rsidRPr="00E30F42">
        <w:rPr>
          <w:rFonts w:cs="Times New Roman"/>
          <w:szCs w:val="24"/>
        </w:rPr>
        <w:t>сургуул</w:t>
      </w:r>
      <w:proofErr w:type="spellEnd"/>
      <w:r w:rsidRPr="00E30F42">
        <w:rPr>
          <w:rFonts w:cs="Times New Roman"/>
          <w:szCs w:val="24"/>
          <w:lang w:val="mn-MN"/>
        </w:rPr>
        <w:t>ь</w:t>
      </w:r>
      <w:r w:rsidRPr="00E30F42">
        <w:rPr>
          <w:rFonts w:cs="Times New Roman"/>
          <w:szCs w:val="24"/>
        </w:rPr>
        <w:t xml:space="preserve"> </w:t>
      </w:r>
      <w:proofErr w:type="spellStart"/>
      <w:r w:rsidRPr="00E30F42">
        <w:rPr>
          <w:rFonts w:cs="Times New Roman"/>
          <w:szCs w:val="24"/>
        </w:rPr>
        <w:t>гэдэг</w:t>
      </w:r>
      <w:proofErr w:type="spellEnd"/>
      <w:r w:rsidRPr="00E30F42">
        <w:rPr>
          <w:rFonts w:cs="Times New Roman"/>
          <w:szCs w:val="24"/>
        </w:rPr>
        <w:t xml:space="preserve"> </w:t>
      </w:r>
      <w:proofErr w:type="spellStart"/>
      <w:r w:rsidRPr="00E30F42">
        <w:rPr>
          <w:rFonts w:cs="Times New Roman"/>
          <w:szCs w:val="24"/>
        </w:rPr>
        <w:t>нь</w:t>
      </w:r>
      <w:proofErr w:type="spellEnd"/>
      <w:r w:rsidRPr="00E30F42">
        <w:rPr>
          <w:rFonts w:cs="Times New Roman"/>
          <w:szCs w:val="24"/>
        </w:rPr>
        <w:t xml:space="preserve"> </w:t>
      </w:r>
      <w:r w:rsidRPr="00E30F42">
        <w:rPr>
          <w:rFonts w:cs="Times New Roman"/>
          <w:szCs w:val="24"/>
          <w:lang w:val="mn-MN"/>
        </w:rPr>
        <w:t xml:space="preserve"> мэдлэг дээр суурилсан мэдлэгийн нийгэм бөгөөд нийгмийг мэдлэгээр дамжуулан  өөрчлөх гэсэн гол зорилготой байдаг</w:t>
      </w:r>
      <w:sdt>
        <w:sdtPr>
          <w:rPr>
            <w:rFonts w:cs="Times New Roman"/>
            <w:szCs w:val="24"/>
          </w:rPr>
          <w:id w:val="1802031631"/>
          <w:citation/>
        </w:sdtPr>
        <w:sdtContent>
          <w:r w:rsidRPr="00E30F42">
            <w:rPr>
              <w:rFonts w:cs="Times New Roman"/>
              <w:szCs w:val="24"/>
            </w:rPr>
            <w:fldChar w:fldCharType="begin"/>
          </w:r>
          <w:r w:rsidRPr="00E30F42">
            <w:rPr>
              <w:rFonts w:cs="Times New Roman"/>
              <w:szCs w:val="24"/>
            </w:rPr>
            <w:instrText xml:space="preserve">CITATION Аки12 \l 1033 </w:instrText>
          </w:r>
          <w:r w:rsidRPr="00E30F42">
            <w:rPr>
              <w:rFonts w:cs="Times New Roman"/>
              <w:szCs w:val="24"/>
            </w:rPr>
            <w:fldChar w:fldCharType="separate"/>
          </w:r>
          <w:r>
            <w:rPr>
              <w:rFonts w:cs="Times New Roman"/>
              <w:noProof/>
              <w:szCs w:val="24"/>
            </w:rPr>
            <w:t xml:space="preserve"> </w:t>
          </w:r>
          <w:r w:rsidRPr="00563E92">
            <w:rPr>
              <w:rFonts w:cs="Times New Roman"/>
              <w:noProof/>
              <w:szCs w:val="24"/>
            </w:rPr>
            <w:t>(Акиро Аримото, 2012)</w:t>
          </w:r>
          <w:r w:rsidRPr="00E30F42">
            <w:rPr>
              <w:rFonts w:cs="Times New Roman"/>
              <w:szCs w:val="24"/>
            </w:rPr>
            <w:fldChar w:fldCharType="end"/>
          </w:r>
        </w:sdtContent>
      </w:sdt>
      <w:r w:rsidRPr="00E30F42">
        <w:rPr>
          <w:rFonts w:cs="Times New Roman"/>
          <w:szCs w:val="24"/>
          <w:lang w:val="mn-MN"/>
        </w:rPr>
        <w:t xml:space="preserve"> Японд их сургуулийн багшийн үүргийг:</w:t>
      </w:r>
    </w:p>
    <w:p w14:paraId="7EB7FD12" w14:textId="77777777" w:rsidR="00FE25FF" w:rsidRPr="00E30F42" w:rsidRDefault="00FE25FF" w:rsidP="00FE25FF">
      <w:pPr>
        <w:pStyle w:val="ListParagraph"/>
        <w:numPr>
          <w:ilvl w:val="0"/>
          <w:numId w:val="6"/>
        </w:numPr>
        <w:tabs>
          <w:tab w:val="left" w:pos="1080"/>
        </w:tabs>
        <w:spacing w:line="240" w:lineRule="auto"/>
        <w:ind w:left="0" w:firstLine="810"/>
        <w:jc w:val="both"/>
        <w:rPr>
          <w:rFonts w:cs="Times New Roman"/>
          <w:i/>
          <w:szCs w:val="24"/>
          <w:lang w:val="mn-MN"/>
        </w:rPr>
      </w:pPr>
      <w:r w:rsidRPr="00E30F42">
        <w:rPr>
          <w:rFonts w:cs="Times New Roman"/>
          <w:i/>
          <w:szCs w:val="24"/>
          <w:lang w:val="mn-MN"/>
        </w:rPr>
        <w:t xml:space="preserve">Судалгаа хийх </w:t>
      </w:r>
    </w:p>
    <w:p w14:paraId="7374A0FC" w14:textId="77777777" w:rsidR="00FE25FF" w:rsidRPr="00E30F42" w:rsidRDefault="00FE25FF" w:rsidP="00FE25FF">
      <w:pPr>
        <w:pStyle w:val="ListParagraph"/>
        <w:numPr>
          <w:ilvl w:val="0"/>
          <w:numId w:val="6"/>
        </w:numPr>
        <w:tabs>
          <w:tab w:val="left" w:pos="1080"/>
        </w:tabs>
        <w:spacing w:line="240" w:lineRule="auto"/>
        <w:ind w:left="0" w:firstLine="810"/>
        <w:jc w:val="both"/>
        <w:rPr>
          <w:rFonts w:cs="Times New Roman"/>
          <w:i/>
          <w:szCs w:val="24"/>
          <w:lang w:val="mn-MN"/>
        </w:rPr>
      </w:pPr>
      <w:r w:rsidRPr="00E30F42">
        <w:rPr>
          <w:rFonts w:cs="Times New Roman"/>
          <w:i/>
          <w:szCs w:val="24"/>
          <w:lang w:val="mn-MN"/>
        </w:rPr>
        <w:t>Сургалт явуулах</w:t>
      </w:r>
    </w:p>
    <w:p w14:paraId="5C50D0B7" w14:textId="77777777" w:rsidR="00FE25FF" w:rsidRPr="00E30F42" w:rsidRDefault="00FE25FF" w:rsidP="00FE25FF">
      <w:pPr>
        <w:pStyle w:val="ListParagraph"/>
        <w:numPr>
          <w:ilvl w:val="0"/>
          <w:numId w:val="6"/>
        </w:numPr>
        <w:tabs>
          <w:tab w:val="left" w:pos="1080"/>
        </w:tabs>
        <w:spacing w:line="240" w:lineRule="auto"/>
        <w:ind w:left="0" w:firstLine="810"/>
        <w:jc w:val="both"/>
        <w:rPr>
          <w:rFonts w:cs="Times New Roman"/>
          <w:i/>
          <w:szCs w:val="24"/>
          <w:lang w:val="mn-MN"/>
        </w:rPr>
      </w:pPr>
      <w:r w:rsidRPr="00E30F42">
        <w:rPr>
          <w:rFonts w:cs="Times New Roman"/>
          <w:i/>
          <w:szCs w:val="24"/>
          <w:lang w:val="mn-MN"/>
        </w:rPr>
        <w:t>Нийгэмд үйлчилгээ үзүүлэх</w:t>
      </w:r>
    </w:p>
    <w:p w14:paraId="2363EF59" w14:textId="77777777" w:rsidR="00FE25FF" w:rsidRPr="00E30F42" w:rsidRDefault="00FE25FF" w:rsidP="00FE25FF">
      <w:pPr>
        <w:pStyle w:val="ListParagraph"/>
        <w:numPr>
          <w:ilvl w:val="0"/>
          <w:numId w:val="6"/>
        </w:numPr>
        <w:tabs>
          <w:tab w:val="left" w:pos="1080"/>
        </w:tabs>
        <w:spacing w:line="240" w:lineRule="auto"/>
        <w:ind w:left="0" w:firstLine="810"/>
        <w:jc w:val="both"/>
        <w:rPr>
          <w:rFonts w:cs="Times New Roman"/>
          <w:i/>
          <w:szCs w:val="24"/>
          <w:lang w:val="mn-MN"/>
        </w:rPr>
      </w:pPr>
      <w:r w:rsidRPr="00E30F42">
        <w:rPr>
          <w:rFonts w:cs="Times New Roman"/>
          <w:i/>
          <w:szCs w:val="24"/>
          <w:lang w:val="mn-MN"/>
        </w:rPr>
        <w:t xml:space="preserve">Менежмент гэсэн дөрвөн хүрээгээр тодорхойлдог. </w:t>
      </w:r>
    </w:p>
    <w:p w14:paraId="4BE1EE44" w14:textId="77777777" w:rsidR="00FE25FF" w:rsidRPr="00E30F42" w:rsidRDefault="00FE25FF" w:rsidP="00FE25FF">
      <w:pPr>
        <w:tabs>
          <w:tab w:val="left" w:pos="1440"/>
        </w:tabs>
        <w:spacing w:line="240" w:lineRule="auto"/>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lastRenderedPageBreak/>
        <w:t>Японы их сургуулийн багшийн албан тушаалын зэрэглэл</w:t>
      </w:r>
      <w:r w:rsidRPr="00E30F42">
        <w:rPr>
          <w:rFonts w:ascii="Times New Roman" w:hAnsi="Times New Roman" w:cs="Times New Roman"/>
          <w:sz w:val="24"/>
          <w:szCs w:val="24"/>
        </w:rPr>
        <w:t xml:space="preserve"> (tenure track)</w:t>
      </w:r>
      <w:r w:rsidRPr="00E30F42">
        <w:rPr>
          <w:rFonts w:ascii="Times New Roman" w:hAnsi="Times New Roman" w:cs="Times New Roman"/>
          <w:sz w:val="24"/>
          <w:szCs w:val="24"/>
          <w:lang w:val="mn-MN"/>
        </w:rPr>
        <w:t xml:space="preserve"> нь:</w:t>
      </w:r>
    </w:p>
    <w:p w14:paraId="357E84BD" w14:textId="77777777" w:rsidR="00FE25FF" w:rsidRPr="00E30F42" w:rsidRDefault="00FE25FF" w:rsidP="00FE25FF">
      <w:pPr>
        <w:pStyle w:val="ListParagraph"/>
        <w:numPr>
          <w:ilvl w:val="0"/>
          <w:numId w:val="7"/>
        </w:numPr>
        <w:tabs>
          <w:tab w:val="left" w:pos="1080"/>
        </w:tabs>
        <w:spacing w:line="240" w:lineRule="auto"/>
        <w:ind w:left="0" w:firstLine="720"/>
        <w:jc w:val="both"/>
        <w:rPr>
          <w:rFonts w:cs="Times New Roman"/>
          <w:i/>
          <w:szCs w:val="24"/>
          <w:lang w:val="mn-MN"/>
        </w:rPr>
      </w:pPr>
      <w:r w:rsidRPr="00E30F42">
        <w:rPr>
          <w:rFonts w:cs="Times New Roman"/>
          <w:i/>
          <w:szCs w:val="24"/>
          <w:lang w:val="mn-MN"/>
        </w:rPr>
        <w:t xml:space="preserve">Профессор </w:t>
      </w:r>
    </w:p>
    <w:p w14:paraId="51B71EED" w14:textId="77777777" w:rsidR="00FE25FF" w:rsidRPr="00E30F42" w:rsidRDefault="00FE25FF" w:rsidP="00FE25FF">
      <w:pPr>
        <w:pStyle w:val="ListParagraph"/>
        <w:numPr>
          <w:ilvl w:val="0"/>
          <w:numId w:val="7"/>
        </w:numPr>
        <w:tabs>
          <w:tab w:val="left" w:pos="1080"/>
        </w:tabs>
        <w:spacing w:line="240" w:lineRule="auto"/>
        <w:ind w:left="0" w:firstLine="720"/>
        <w:jc w:val="both"/>
        <w:rPr>
          <w:rFonts w:cs="Times New Roman"/>
          <w:i/>
          <w:szCs w:val="24"/>
          <w:lang w:val="mn-MN"/>
        </w:rPr>
      </w:pPr>
      <w:r w:rsidRPr="00E30F42">
        <w:rPr>
          <w:rFonts w:cs="Times New Roman"/>
          <w:i/>
          <w:szCs w:val="24"/>
          <w:lang w:val="mn-MN"/>
        </w:rPr>
        <w:t>Дэд профессор</w:t>
      </w:r>
    </w:p>
    <w:p w14:paraId="792A42E2" w14:textId="77777777" w:rsidR="00FE25FF" w:rsidRPr="00E30F42" w:rsidRDefault="00FE25FF" w:rsidP="00FE25FF">
      <w:pPr>
        <w:pStyle w:val="ListParagraph"/>
        <w:numPr>
          <w:ilvl w:val="0"/>
          <w:numId w:val="7"/>
        </w:numPr>
        <w:tabs>
          <w:tab w:val="left" w:pos="1080"/>
        </w:tabs>
        <w:spacing w:line="240" w:lineRule="auto"/>
        <w:ind w:left="0" w:firstLine="720"/>
        <w:jc w:val="both"/>
        <w:rPr>
          <w:rFonts w:cs="Times New Roman"/>
          <w:i/>
          <w:szCs w:val="24"/>
          <w:lang w:val="mn-MN"/>
        </w:rPr>
      </w:pPr>
      <w:r w:rsidRPr="00E30F42">
        <w:rPr>
          <w:rFonts w:cs="Times New Roman"/>
          <w:i/>
          <w:szCs w:val="24"/>
          <w:lang w:val="mn-MN"/>
        </w:rPr>
        <w:t xml:space="preserve">Лектор </w:t>
      </w:r>
    </w:p>
    <w:p w14:paraId="6554E1AB" w14:textId="77777777" w:rsidR="00FE25FF" w:rsidRPr="00E30F42" w:rsidRDefault="00FE25FF" w:rsidP="00FE25FF">
      <w:pPr>
        <w:pStyle w:val="ListParagraph"/>
        <w:numPr>
          <w:ilvl w:val="0"/>
          <w:numId w:val="7"/>
        </w:numPr>
        <w:tabs>
          <w:tab w:val="left" w:pos="1080"/>
        </w:tabs>
        <w:spacing w:line="240" w:lineRule="auto"/>
        <w:ind w:left="0" w:firstLine="720"/>
        <w:jc w:val="both"/>
        <w:rPr>
          <w:rFonts w:cs="Times New Roman"/>
          <w:i/>
          <w:szCs w:val="24"/>
          <w:lang w:val="mn-MN"/>
        </w:rPr>
      </w:pPr>
      <w:r w:rsidRPr="00E30F42">
        <w:rPr>
          <w:rFonts w:cs="Times New Roman"/>
          <w:i/>
          <w:szCs w:val="24"/>
          <w:lang w:val="mn-MN"/>
        </w:rPr>
        <w:t xml:space="preserve">Туслах профессор гэсэн шатлалтай байдаг. </w:t>
      </w:r>
    </w:p>
    <w:p w14:paraId="046249D9"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Мөн Японы их сургуулийн багш нар Германы судалгаа давамгайлсан, Англи-Саксоны судалгаа сургалт хослуулсан, Латин Америкийн сургалт давамгайлсан боловсролын чиглэлийг баримталдаг гурван бүлэгт хуваагддаг</w:t>
      </w:r>
      <w:sdt>
        <w:sdtPr>
          <w:rPr>
            <w:rFonts w:ascii="Times New Roman" w:hAnsi="Times New Roman" w:cs="Times New Roman"/>
            <w:sz w:val="24"/>
            <w:szCs w:val="24"/>
            <w:lang w:val="mn-MN"/>
          </w:rPr>
          <w:id w:val="2035235180"/>
          <w:citation/>
        </w:sdtPr>
        <w:sdtContent>
          <w:r w:rsidRPr="00E30F42">
            <w:rPr>
              <w:rFonts w:ascii="Times New Roman" w:hAnsi="Times New Roman" w:cs="Times New Roman"/>
              <w:sz w:val="24"/>
              <w:szCs w:val="24"/>
              <w:lang w:val="mn-MN"/>
            </w:rPr>
            <w:fldChar w:fldCharType="begin"/>
          </w:r>
          <w:r w:rsidRPr="00E30F42">
            <w:rPr>
              <w:rFonts w:ascii="Times New Roman" w:hAnsi="Times New Roman" w:cs="Times New Roman"/>
              <w:sz w:val="24"/>
              <w:szCs w:val="24"/>
            </w:rPr>
            <w:instrText xml:space="preserve"> CITATION Car06 \l 1033 </w:instrText>
          </w:r>
          <w:r w:rsidRPr="00E30F42">
            <w:rPr>
              <w:rFonts w:ascii="Times New Roman" w:hAnsi="Times New Roman" w:cs="Times New Roman"/>
              <w:sz w:val="24"/>
              <w:szCs w:val="24"/>
              <w:lang w:val="mn-MN"/>
            </w:rPr>
            <w:fldChar w:fldCharType="separate"/>
          </w:r>
          <w:r>
            <w:rPr>
              <w:rFonts w:ascii="Times New Roman" w:hAnsi="Times New Roman" w:cs="Times New Roman"/>
              <w:noProof/>
              <w:sz w:val="24"/>
              <w:szCs w:val="24"/>
            </w:rPr>
            <w:t xml:space="preserve"> </w:t>
          </w:r>
          <w:r w:rsidRPr="00563E92">
            <w:rPr>
              <w:rFonts w:ascii="Times New Roman" w:hAnsi="Times New Roman" w:cs="Times New Roman"/>
              <w:noProof/>
              <w:sz w:val="24"/>
              <w:szCs w:val="24"/>
            </w:rPr>
            <w:t>(Carnegie , 2006)</w:t>
          </w:r>
          <w:r w:rsidRPr="00E30F42">
            <w:rPr>
              <w:rFonts w:ascii="Times New Roman" w:hAnsi="Times New Roman" w:cs="Times New Roman"/>
              <w:sz w:val="24"/>
              <w:szCs w:val="24"/>
              <w:lang w:val="mn-MN"/>
            </w:rPr>
            <w:fldChar w:fldCharType="end"/>
          </w:r>
        </w:sdtContent>
      </w:sdt>
      <w:r w:rsidRPr="00E30F42">
        <w:rPr>
          <w:rFonts w:ascii="Times New Roman" w:hAnsi="Times New Roman" w:cs="Times New Roman"/>
          <w:sz w:val="24"/>
          <w:szCs w:val="24"/>
          <w:lang w:val="mn-MN"/>
        </w:rPr>
        <w:t xml:space="preserve"> </w:t>
      </w:r>
    </w:p>
    <w:p w14:paraId="49B7AC73" w14:textId="77777777" w:rsidR="00FE25FF" w:rsidRPr="00E30F42" w:rsidRDefault="00FE25FF" w:rsidP="00FE25FF">
      <w:pPr>
        <w:pStyle w:val="ListParagraph"/>
        <w:tabs>
          <w:tab w:val="left" w:pos="1440"/>
        </w:tabs>
        <w:spacing w:line="240" w:lineRule="auto"/>
        <w:ind w:left="0" w:firstLine="720"/>
        <w:rPr>
          <w:rFonts w:cs="Times New Roman"/>
          <w:b/>
          <w:szCs w:val="24"/>
          <w:u w:val="single"/>
          <w:lang w:val="mn-MN"/>
        </w:rPr>
      </w:pPr>
      <w:r w:rsidRPr="00E30F42">
        <w:rPr>
          <w:rFonts w:cs="Times New Roman"/>
          <w:b/>
          <w:szCs w:val="24"/>
          <w:u w:val="single"/>
          <w:lang w:val="mn-MN"/>
        </w:rPr>
        <w:t>БНСУ-ын туршлага:</w:t>
      </w:r>
    </w:p>
    <w:p w14:paraId="265F8E79" w14:textId="77777777" w:rsidR="00FE25FF" w:rsidRPr="00E30F42" w:rsidRDefault="00FE25FF" w:rsidP="00FE25FF">
      <w:pPr>
        <w:tabs>
          <w:tab w:val="left" w:pos="1440"/>
        </w:tabs>
        <w:spacing w:line="240" w:lineRule="auto"/>
        <w:ind w:firstLine="81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Солонгосын их, дээд сургууль нь залуу багш нарыг туршлагатай доктор, профессоруудад дагалдуулан өгч энэ хугацаанд багш болох үнэхээр сонирхолтой, чадвартай эсэхийг нь шалгаж, шаардлага хангасан үед жинхэнэ багш болгон авдаг. Ассистентшип тогтолцоо хамгийн өндөр хөгжсөн.  Багшийн ажил үүргийн хуваарь маш нарийн, тодорхой байдаг тул амжилт гаргасан тохиолдолд АНУ, Канад зэрэг оронд бүх зардлыг нь дааж мэргэжил дээшлүүлнэ гэх зэргээр урамшууллын систем ойлгомжтой байдаг тул чадварлаг ажилтныг татах боломжийг бүрдүүлдэг </w:t>
      </w:r>
    </w:p>
    <w:p w14:paraId="3AE97181"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БНСУ-ийн их, дээд сургуулиудад хэрэгжиж байгаа багшийн хөгжлийн үнэлгээний гол агуулга нь хөдөлмөрийн гэрээ, ажлын гүйцэтгэл, ахиц дэвшлийн талаар санал хураах зэргээр тодорхойлогдож байгаа нь тухайн багшийн санал тусахгүй сул талтай байна гэж үзээд технологийн дэвшлийг багшийн хөгжлийг үнэлэхэд ашиглах явдлыг нэвтрүүлэх оролдлого хийж эхэлсэн. БНСУ-ийн Чоннам Их сургуулийн дэргэдэх “Боловсролын хөгжлийн судалгааны төв”-өөс одоогийн  багшийн хөгжлийг үнэлж байгаа асуудлыг дараах сул талтай гэж дүгнэсэн. Үүнд: </w:t>
      </w:r>
    </w:p>
    <w:p w14:paraId="28B42886" w14:textId="77777777" w:rsidR="00FE25FF" w:rsidRPr="00E30F42" w:rsidRDefault="00FE25FF" w:rsidP="00FE25FF">
      <w:pPr>
        <w:tabs>
          <w:tab w:val="left" w:pos="108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1.Багш нар,  өөрийг нь ямар шалгуураар үнэлж байна гэдгийг төдийлөн мэдэхгүй байна.</w:t>
      </w:r>
    </w:p>
    <w:p w14:paraId="22835B2C" w14:textId="77777777" w:rsidR="00FE25FF" w:rsidRPr="00E30F42" w:rsidRDefault="00FE25FF" w:rsidP="00FE25FF">
      <w:pPr>
        <w:tabs>
          <w:tab w:val="left" w:pos="108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2. Багш нар хооорондоо үнэлгээний талаар санал хүсэлтээ илэрхийлэх, дүн шинжилгээ хийх албан механизм байхгүй байна.</w:t>
      </w:r>
    </w:p>
    <w:p w14:paraId="244D6D32" w14:textId="77777777" w:rsidR="00FE25FF" w:rsidRPr="00E30F42" w:rsidRDefault="00FE25FF" w:rsidP="00FE25FF">
      <w:pPr>
        <w:tabs>
          <w:tab w:val="left" w:pos="108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3. Орон зай, цаг хугацааны хувьд хязгаарлагдаад олон нийт, янз бүрийн санал бодлыг тусгах боломжгүй байна. </w:t>
      </w:r>
    </w:p>
    <w:p w14:paraId="4962D235" w14:textId="77777777" w:rsidR="00FE25FF" w:rsidRPr="00E30F42" w:rsidRDefault="00FE25FF" w:rsidP="00FE25FF">
      <w:pPr>
        <w:tabs>
          <w:tab w:val="left" w:pos="108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4. Багшийн ур чадварын бодит өсөлтөд хувь нэмэр оруулж чадахгүй байна. </w:t>
      </w:r>
    </w:p>
    <w:p w14:paraId="6F271A2F" w14:textId="77777777" w:rsidR="00FE25FF" w:rsidRPr="00E30F42" w:rsidRDefault="00FE25FF" w:rsidP="00FE25FF">
      <w:pPr>
        <w:tabs>
          <w:tab w:val="left" w:pos="108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Багшийн хөгжлийн талаар өөрийн үнэлгээ болон хамт олны үнэлгээ, мэргэжилтний үнэлгээгээр дамжуулан дүн шинжилгээ хийх боломжтой, зүй зохистой, тогтолцоот систем бий болгохын тулд</w:t>
      </w:r>
      <w:sdt>
        <w:sdtPr>
          <w:rPr>
            <w:rFonts w:ascii="Times New Roman" w:hAnsi="Times New Roman" w:cs="Times New Roman"/>
            <w:sz w:val="24"/>
            <w:szCs w:val="24"/>
          </w:rPr>
          <w:id w:val="-546916783"/>
          <w:citation/>
        </w:sdtPr>
        <w:sdtContent>
          <w:r w:rsidRPr="00E30F42">
            <w:rPr>
              <w:rFonts w:ascii="Times New Roman" w:hAnsi="Times New Roman" w:cs="Times New Roman"/>
              <w:sz w:val="24"/>
              <w:szCs w:val="24"/>
            </w:rPr>
            <w:fldChar w:fldCharType="begin"/>
          </w:r>
          <w:r w:rsidRPr="00E30F42">
            <w:rPr>
              <w:rFonts w:ascii="Times New Roman" w:hAnsi="Times New Roman" w:cs="Times New Roman"/>
              <w:sz w:val="24"/>
              <w:szCs w:val="24"/>
            </w:rPr>
            <w:instrText xml:space="preserve"> CITATION Jun11 \l 1033 </w:instrText>
          </w:r>
          <w:r w:rsidRPr="00E30F42">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63E92">
            <w:rPr>
              <w:rFonts w:ascii="Times New Roman" w:hAnsi="Times New Roman" w:cs="Times New Roman"/>
              <w:noProof/>
              <w:sz w:val="24"/>
              <w:szCs w:val="24"/>
            </w:rPr>
            <w:t>(Jung-Hwan Park, Chang-Bae Moon, 2011)</w:t>
          </w:r>
          <w:r w:rsidRPr="00E30F42">
            <w:rPr>
              <w:rFonts w:ascii="Times New Roman" w:hAnsi="Times New Roman" w:cs="Times New Roman"/>
              <w:sz w:val="24"/>
              <w:szCs w:val="24"/>
            </w:rPr>
            <w:fldChar w:fldCharType="end"/>
          </w:r>
        </w:sdtContent>
      </w:sdt>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е</w:t>
      </w:r>
      <w:r w:rsidRPr="00E30F42">
        <w:rPr>
          <w:rFonts w:ascii="Times New Roman" w:hAnsi="Times New Roman" w:cs="Times New Roman"/>
          <w:sz w:val="24"/>
          <w:szCs w:val="24"/>
        </w:rPr>
        <w:t>-</w:t>
      </w:r>
      <w:proofErr w:type="spellStart"/>
      <w:r w:rsidRPr="00E30F42">
        <w:rPr>
          <w:rFonts w:ascii="Times New Roman" w:hAnsi="Times New Roman" w:cs="Times New Roman"/>
          <w:sz w:val="24"/>
          <w:szCs w:val="24"/>
        </w:rPr>
        <w:t>Cumpus</w:t>
      </w:r>
      <w:proofErr w:type="spellEnd"/>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 xml:space="preserve">online </w:t>
      </w:r>
      <w:r w:rsidRPr="00E30F42">
        <w:rPr>
          <w:rFonts w:ascii="Times New Roman" w:hAnsi="Times New Roman" w:cs="Times New Roman"/>
          <w:sz w:val="24"/>
          <w:szCs w:val="24"/>
          <w:lang w:val="mn-MN"/>
        </w:rPr>
        <w:t>орчинд ашиглах боломжтой багшийн үнэлгээний системийг бий болгохоор зорьж байна.</w:t>
      </w:r>
    </w:p>
    <w:p w14:paraId="4A248299" w14:textId="77777777" w:rsidR="00FE25FF" w:rsidRPr="00E30F42" w:rsidRDefault="00FE25FF" w:rsidP="00FE25FF">
      <w:pPr>
        <w:tabs>
          <w:tab w:val="left" w:pos="108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Багш өөрөө, хамтран ажиллагч, бусад мэргэжилтэн, оюутан болон нийгмийн энгийн хүмүүс үнэлгээнд оролцох боломжтой тийм хэлбэрийг е-</w:t>
      </w:r>
      <w:r w:rsidRPr="00E30F42">
        <w:rPr>
          <w:rFonts w:ascii="Times New Roman" w:hAnsi="Times New Roman" w:cs="Times New Roman"/>
          <w:sz w:val="24"/>
          <w:szCs w:val="24"/>
        </w:rPr>
        <w:t xml:space="preserve">Learning </w:t>
      </w:r>
      <w:r w:rsidRPr="00E30F42">
        <w:rPr>
          <w:rFonts w:ascii="Times New Roman" w:hAnsi="Times New Roman" w:cs="Times New Roman"/>
          <w:sz w:val="24"/>
          <w:szCs w:val="24"/>
          <w:lang w:val="mn-MN"/>
        </w:rPr>
        <w:t xml:space="preserve"> арга технологи мөн гэж үзэж багш бүрт өөрийн гэсэн цахим портфель үүсгэхийг санал болгосон. Энэхүү багшийн портфель нь тухайн багшийн хичээлийн хөтөлбөр, агуулга, ном бүтээл, илтгэл, өгүүлэл, шинэ санаачлага, нийгмийн үйлчилгээ зэрэг бүх хийж байгаа ажлуудаа электрон хэлбэрт оруулан олон нийт, бусад их, дээд сургууль, оюутнууд нээлттэй үзэх боломжтойгоор </w:t>
      </w:r>
      <w:r w:rsidRPr="00E30F42">
        <w:rPr>
          <w:rFonts w:ascii="Times New Roman" w:hAnsi="Times New Roman" w:cs="Times New Roman"/>
          <w:sz w:val="24"/>
          <w:szCs w:val="24"/>
          <w:lang w:val="mn-MN"/>
        </w:rPr>
        <w:lastRenderedPageBreak/>
        <w:t xml:space="preserve">байршуулан тавьсанаар тухайн багш өөрийнхөө ажилд өгсөн бусдын үнэлгээг  мэдэх, түүнийг цаашид хэрхэн сайжруулж болох талаар санал солилцдог. Ийм системийг ашиглан багшийн хөгжлийг үнэлэх  нь багш өөрийнхөө хийсэн судалгааны ажил, зааж байгаа хичээлээ хянах боломжтой тул багшлах ур чадварт өсөлт гарах ба тухайн сургууль нээлттэй болсноор их сургуулийн өрсөлдөх чадвар дээшилнэ. Үүний хамгийн тохиромжтой арга хэлбэр нь өрнөдийн орнуудад өргөнөөр ашиглагдаж ирсэн </w:t>
      </w:r>
      <w:r w:rsidRPr="00E30F42">
        <w:rPr>
          <w:rFonts w:ascii="Times New Roman" w:hAnsi="Times New Roman" w:cs="Times New Roman"/>
          <w:sz w:val="24"/>
          <w:szCs w:val="24"/>
        </w:rPr>
        <w:t>TPI</w:t>
      </w:r>
      <w:r w:rsidRPr="00E30F42">
        <w:rPr>
          <w:rFonts w:ascii="Times New Roman" w:hAnsi="Times New Roman" w:cs="Times New Roman"/>
          <w:sz w:val="24"/>
          <w:szCs w:val="24"/>
          <w:lang w:val="mn-MN"/>
        </w:rPr>
        <w:t xml:space="preserve"> буюу </w:t>
      </w:r>
      <w:r w:rsidRPr="00E30F42">
        <w:rPr>
          <w:rFonts w:ascii="Times New Roman" w:hAnsi="Times New Roman" w:cs="Times New Roman"/>
          <w:sz w:val="24"/>
          <w:szCs w:val="24"/>
        </w:rPr>
        <w:t xml:space="preserve">(teacher perspective inventory) </w:t>
      </w:r>
      <w:r w:rsidRPr="00E30F42">
        <w:rPr>
          <w:rFonts w:ascii="Times New Roman" w:hAnsi="Times New Roman" w:cs="Times New Roman"/>
          <w:sz w:val="24"/>
          <w:szCs w:val="24"/>
          <w:lang w:val="mn-MN"/>
        </w:rPr>
        <w:t xml:space="preserve">багшийн хөгжлийг үнэлэх арга зүйг технологийн орчинд ашиглах нь зүйтэй гэж үзсэн. 1998 онд Канадын </w:t>
      </w:r>
      <w:r w:rsidRPr="00E30F42">
        <w:rPr>
          <w:rFonts w:ascii="Times New Roman" w:hAnsi="Times New Roman" w:cs="Times New Roman"/>
          <w:sz w:val="24"/>
          <w:szCs w:val="24"/>
        </w:rPr>
        <w:t xml:space="preserve">British </w:t>
      </w:r>
      <w:proofErr w:type="spellStart"/>
      <w:r w:rsidRPr="00E30F42">
        <w:rPr>
          <w:rFonts w:ascii="Times New Roman" w:hAnsi="Times New Roman" w:cs="Times New Roman"/>
          <w:sz w:val="24"/>
          <w:szCs w:val="24"/>
        </w:rPr>
        <w:t>Columbiia</w:t>
      </w:r>
      <w:proofErr w:type="spellEnd"/>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 xml:space="preserve"> их сургуулийн профессор </w:t>
      </w:r>
      <w:r w:rsidRPr="00E30F42">
        <w:rPr>
          <w:rFonts w:ascii="Times New Roman" w:hAnsi="Times New Roman" w:cs="Times New Roman"/>
          <w:sz w:val="24"/>
          <w:szCs w:val="24"/>
        </w:rPr>
        <w:t xml:space="preserve">John </w:t>
      </w:r>
      <w:proofErr w:type="spellStart"/>
      <w:r w:rsidRPr="00E30F42">
        <w:rPr>
          <w:rFonts w:ascii="Times New Roman" w:hAnsi="Times New Roman" w:cs="Times New Roman"/>
          <w:sz w:val="24"/>
          <w:szCs w:val="24"/>
        </w:rPr>
        <w:t>B.Collins</w:t>
      </w:r>
      <w:proofErr w:type="spellEnd"/>
      <w:r w:rsidRPr="00E30F42">
        <w:rPr>
          <w:rFonts w:ascii="Times New Roman" w:hAnsi="Times New Roman" w:cs="Times New Roman"/>
          <w:sz w:val="24"/>
          <w:szCs w:val="24"/>
        </w:rPr>
        <w:t xml:space="preserve">, Daniel </w:t>
      </w:r>
      <w:proofErr w:type="spellStart"/>
      <w:r w:rsidRPr="00E30F42">
        <w:rPr>
          <w:rFonts w:ascii="Times New Roman" w:hAnsi="Times New Roman" w:cs="Times New Roman"/>
          <w:sz w:val="24"/>
          <w:szCs w:val="24"/>
        </w:rPr>
        <w:t>D.Pratt</w:t>
      </w:r>
      <w:proofErr w:type="spellEnd"/>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 xml:space="preserve">нар анх багш нарын заах арга зүй, тэдэнд гарч байгаа хөгжил, өөрчлөлтийг тодорхойлох, үнэлэхийн тулд 45 үнэлгээний шалгуур бүхий арга зүйг боловсруулж 250 багшид туршилт хийсэн бөгөөд 10 жилийн хугацаанд 100 мянга гаруй багш нар тус арга зүйгээр өөрсдийгөө үнэлжээ. Асуулт бүрийн дагуу  багш нар </w:t>
      </w:r>
      <w:r w:rsidRPr="00E30F42">
        <w:rPr>
          <w:rFonts w:ascii="Times New Roman" w:eastAsia="MS PGothic" w:hAnsi="Times New Roman" w:cs="Times New Roman"/>
          <w:sz w:val="24"/>
          <w:szCs w:val="24"/>
          <w:lang w:val="mn-MN"/>
        </w:rPr>
        <w:t xml:space="preserve">SD = Эсрэг байна, D = Санал нийлэхгүй байна, N = Дундыг барьж байна, A = Санал нийлж байна, SA = Бүрэн санал нийлж байна гэсэн үнэлгээний хуваариас сонгон үнэлж программ өөрөө тооцоолж тухайн багшийг ямар тал дээр ур чадвараа хөгжүүлэх, хэрхэн суралцах талаар өөрт нь тайлбар, зааварчилгааг өгдөг. </w:t>
      </w:r>
      <w:r w:rsidRPr="00E30F42">
        <w:rPr>
          <w:rFonts w:ascii="Times New Roman" w:hAnsi="Times New Roman" w:cs="Times New Roman"/>
          <w:sz w:val="24"/>
          <w:szCs w:val="24"/>
          <w:lang w:val="mn-MN"/>
        </w:rPr>
        <w:t xml:space="preserve">Одоо энэ арга зүйг Өрнөдийн болон Азийн олон их, дээд сургууль багш нарыгаа үнэлэхэд өргөн ашиглаж байна. Энэ үнэлгээг ашиглах арга зүй нь багш нар тус бүрдээ </w:t>
      </w:r>
      <w:r w:rsidRPr="00E30F42">
        <w:rPr>
          <w:rFonts w:ascii="Times New Roman" w:hAnsi="Times New Roman" w:cs="Times New Roman"/>
          <w:sz w:val="24"/>
          <w:szCs w:val="24"/>
        </w:rPr>
        <w:t>online</w:t>
      </w:r>
      <w:r w:rsidRPr="00E30F42">
        <w:rPr>
          <w:rFonts w:ascii="Times New Roman" w:hAnsi="Times New Roman" w:cs="Times New Roman"/>
          <w:sz w:val="24"/>
          <w:szCs w:val="24"/>
          <w:lang w:val="mn-MN"/>
        </w:rPr>
        <w:t xml:space="preserve">–аар өөрсдийгөө үнэлэн ямар тал дээр давуу болон сул байгаагаа мэдэрснээр  түүнийгээ хөгжүүлэх сэдлийг бий болгодог. </w:t>
      </w:r>
    </w:p>
    <w:p w14:paraId="75B2F548" w14:textId="77777777" w:rsidR="00FE25FF" w:rsidRPr="00E30F42" w:rsidRDefault="00FE25FF" w:rsidP="00FE25FF">
      <w:pPr>
        <w:tabs>
          <w:tab w:val="left" w:pos="1440"/>
        </w:tabs>
        <w:spacing w:line="240" w:lineRule="auto"/>
        <w:ind w:firstLine="720"/>
        <w:jc w:val="both"/>
        <w:rPr>
          <w:rFonts w:ascii="Times New Roman" w:hAnsi="Times New Roman" w:cs="Times New Roman"/>
          <w:b/>
          <w:sz w:val="24"/>
          <w:szCs w:val="24"/>
          <w:u w:val="single"/>
          <w:lang w:val="mn-MN"/>
        </w:rPr>
      </w:pPr>
      <w:r w:rsidRPr="00E30F42">
        <w:rPr>
          <w:rFonts w:ascii="Times New Roman" w:hAnsi="Times New Roman" w:cs="Times New Roman"/>
          <w:b/>
          <w:sz w:val="24"/>
          <w:szCs w:val="24"/>
          <w:u w:val="single"/>
          <w:lang w:val="mn-MN"/>
        </w:rPr>
        <w:t xml:space="preserve">Бүгд Найрамдах Польш  улсын - туршлага: </w:t>
      </w:r>
    </w:p>
    <w:p w14:paraId="6D78B2DB"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Бид багшийн хөгжлийг үнэлж байгаа өндөр хөгжилтэй зарим орнуудын практикийг авч үзсэний зэрэгцээ нийгмийн хөгжил, нийгэм эдийн засгийн бүтэц нь манай улстай харьцангуй ойролцоо гэж үзэж мөн Бүгд Найрамдах Польш  улсын туршлагаас авч үзсэн. Польш улсад дээд боловсролын салбарт багшийн хөгжлийг үнэлэх </w:t>
      </w:r>
      <w:r w:rsidRPr="00E30F42">
        <w:rPr>
          <w:rFonts w:ascii="Times New Roman" w:hAnsi="Times New Roman" w:cs="Times New Roman"/>
          <w:i/>
          <w:sz w:val="24"/>
          <w:szCs w:val="24"/>
          <w:lang w:val="mn-MN"/>
        </w:rPr>
        <w:t>“Үнэлгээний хороо”</w:t>
      </w:r>
      <w:r w:rsidRPr="00E30F42">
        <w:rPr>
          <w:rFonts w:ascii="Times New Roman" w:hAnsi="Times New Roman" w:cs="Times New Roman"/>
          <w:sz w:val="24"/>
          <w:szCs w:val="24"/>
          <w:lang w:val="mn-MN"/>
        </w:rPr>
        <w:t xml:space="preserve"> гэсэн тусдаа институт ажилладаг бөгөөд тэдний ажиллах хугацаа дөрвөн жил үргэлжилдэг. Их, дээд сургуулийн багшийн ажлыг үнэлнэ. Салбарын нэртэй эрдэмтэд, тухайн сургуулийн багш, захирал, деканаас бүрдэнэ.  </w:t>
      </w:r>
    </w:p>
    <w:p w14:paraId="4A726462" w14:textId="77777777" w:rsidR="00FE25FF" w:rsidRPr="00E30F42" w:rsidRDefault="00FE25FF" w:rsidP="00FE25FF">
      <w:pPr>
        <w:tabs>
          <w:tab w:val="left" w:pos="1440"/>
        </w:tabs>
        <w:spacing w:line="240" w:lineRule="auto"/>
        <w:ind w:firstLine="720"/>
        <w:jc w:val="both"/>
        <w:rPr>
          <w:rFonts w:ascii="Times New Roman" w:hAnsi="Times New Roman" w:cs="Times New Roman"/>
          <w:i/>
          <w:sz w:val="24"/>
          <w:szCs w:val="24"/>
          <w:lang w:val="mn-MN"/>
        </w:rPr>
      </w:pPr>
      <w:r w:rsidRPr="00E30F42">
        <w:rPr>
          <w:rFonts w:ascii="Times New Roman" w:hAnsi="Times New Roman" w:cs="Times New Roman"/>
          <w:i/>
          <w:sz w:val="24"/>
          <w:szCs w:val="24"/>
          <w:lang w:val="mn-MN"/>
        </w:rPr>
        <w:t>Үнэлгээний хорооны ажлын зарчим</w:t>
      </w:r>
    </w:p>
    <w:p w14:paraId="2181E1F0" w14:textId="77777777" w:rsidR="00FE25FF" w:rsidRPr="00E30F42" w:rsidRDefault="00FE25FF" w:rsidP="00FE25FF">
      <w:pPr>
        <w:tabs>
          <w:tab w:val="left" w:pos="144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Үнэлүүлэх багш өөрийн мэдээллээ цахим байдлаар комисст явуулна. Явуулах үндсэн хугацаа 3-4 жилд нэг удаа. Хэрэв тухай багш өөрөө хүсвэл 2 жилд явуулж болно. Энэ нь албан тушаал дэвших, цалин урамшуулал нэмэгдэх үндсэн үзүүлэлт болдог. Сонирхсон, бусад мэргэжлийн хүмүүс, өөр их, дээд сургуулийн багш нар, судлаачид үзэхэд нээлттэй боломжийг хангадаг. Их, дээд сургуулийн багшийг дараах гурван ерөнхий үзүүлэлтээр үнэлдэг.  Үүнд: </w:t>
      </w:r>
    </w:p>
    <w:p w14:paraId="0EC581F7" w14:textId="77777777" w:rsidR="00FE25FF" w:rsidRPr="00E30F42" w:rsidRDefault="00FE25FF" w:rsidP="00FE25FF">
      <w:pPr>
        <w:tabs>
          <w:tab w:val="left" w:pos="990"/>
        </w:tabs>
        <w:spacing w:after="0" w:line="240" w:lineRule="auto"/>
        <w:ind w:firstLine="630"/>
        <w:jc w:val="both"/>
        <w:rPr>
          <w:rFonts w:ascii="Times New Roman" w:hAnsi="Times New Roman" w:cs="Times New Roman"/>
          <w:sz w:val="24"/>
          <w:szCs w:val="24"/>
        </w:rPr>
      </w:pPr>
      <w:r w:rsidRPr="00E30F42">
        <w:rPr>
          <w:rFonts w:ascii="Times New Roman" w:hAnsi="Times New Roman" w:cs="Times New Roman"/>
          <w:sz w:val="24"/>
          <w:szCs w:val="24"/>
          <w:lang w:val="mn-MN"/>
        </w:rPr>
        <w:t xml:space="preserve">1. Шинжлэх ухааны амжилтууд: өгүүлэл, илтгэл, монографи, ном хэвлэл, төсөл, судалгаа, доктор, магистр удирдах гэх мэт үйл ажиллагаа.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харгалзах оноо 15</w:t>
      </w:r>
      <w:r w:rsidRPr="00E30F42">
        <w:rPr>
          <w:rFonts w:ascii="Times New Roman" w:hAnsi="Times New Roman" w:cs="Times New Roman"/>
          <w:sz w:val="24"/>
          <w:szCs w:val="24"/>
        </w:rPr>
        <w:t>)</w:t>
      </w:r>
    </w:p>
    <w:p w14:paraId="4A17A909" w14:textId="77777777" w:rsidR="00FE25FF" w:rsidRPr="00E30F42" w:rsidRDefault="00FE25FF" w:rsidP="00FE25FF">
      <w:pPr>
        <w:tabs>
          <w:tab w:val="left" w:pos="990"/>
        </w:tabs>
        <w:spacing w:after="0" w:line="240" w:lineRule="auto"/>
        <w:ind w:left="1170" w:hanging="540"/>
        <w:jc w:val="both"/>
        <w:rPr>
          <w:rFonts w:ascii="Times New Roman" w:hAnsi="Times New Roman" w:cs="Times New Roman"/>
          <w:sz w:val="24"/>
          <w:szCs w:val="24"/>
        </w:rPr>
      </w:pPr>
      <w:r w:rsidRPr="00E30F42">
        <w:rPr>
          <w:rFonts w:ascii="Times New Roman" w:hAnsi="Times New Roman" w:cs="Times New Roman"/>
          <w:sz w:val="24"/>
          <w:szCs w:val="24"/>
          <w:lang w:val="mn-MN"/>
        </w:rPr>
        <w:t xml:space="preserve">2. Боловсрол, сургалтын амжилт: заах хичээлийн модуль, хөтөлбөр, шалгалт.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харгалзах оноо 10</w:t>
      </w:r>
      <w:r w:rsidRPr="00E30F42">
        <w:rPr>
          <w:rFonts w:ascii="Times New Roman" w:hAnsi="Times New Roman" w:cs="Times New Roman"/>
          <w:sz w:val="24"/>
          <w:szCs w:val="24"/>
        </w:rPr>
        <w:t>)</w:t>
      </w:r>
    </w:p>
    <w:p w14:paraId="08BCA2FA" w14:textId="77777777" w:rsidR="00FE25FF" w:rsidRPr="00E30F42" w:rsidRDefault="00FE25FF" w:rsidP="00FE25FF">
      <w:pPr>
        <w:tabs>
          <w:tab w:val="left" w:pos="720"/>
          <w:tab w:val="left" w:pos="990"/>
        </w:tabs>
        <w:spacing w:after="0" w:line="240" w:lineRule="auto"/>
        <w:ind w:firstLine="630"/>
        <w:jc w:val="both"/>
        <w:rPr>
          <w:rFonts w:ascii="Times New Roman" w:hAnsi="Times New Roman" w:cs="Times New Roman"/>
          <w:sz w:val="24"/>
          <w:szCs w:val="24"/>
        </w:rPr>
      </w:pPr>
      <w:r w:rsidRPr="00E30F42">
        <w:rPr>
          <w:rFonts w:ascii="Times New Roman" w:hAnsi="Times New Roman" w:cs="Times New Roman"/>
          <w:sz w:val="24"/>
          <w:szCs w:val="24"/>
          <w:lang w:val="mn-MN"/>
        </w:rPr>
        <w:t xml:space="preserve">3. Зохион байгуулалтын ололт амжилт </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харгалзах оноо 5</w:t>
      </w:r>
      <w:r w:rsidRPr="00E30F42">
        <w:rPr>
          <w:rFonts w:ascii="Times New Roman" w:hAnsi="Times New Roman" w:cs="Times New Roman"/>
          <w:sz w:val="24"/>
          <w:szCs w:val="24"/>
        </w:rPr>
        <w:t>)</w:t>
      </w:r>
    </w:p>
    <w:p w14:paraId="47C50917"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 Хамтран ажилладаг нийгмийн, бизнесийн байгууллагын үйл ажиллагаанд оролцох, хамтран хурал зөвлөгөөн зохион байгуулах, зөвлөгөө өгөх, өөрийн их сургууль дээр эрхэлдэг нэмэлт ажил, албан тушаал зэргийг оруулна. </w:t>
      </w:r>
    </w:p>
    <w:p w14:paraId="6CFAA100"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rPr>
      </w:pPr>
      <w:r w:rsidRPr="00E30F42">
        <w:rPr>
          <w:rFonts w:ascii="Times New Roman" w:hAnsi="Times New Roman" w:cs="Times New Roman"/>
          <w:sz w:val="24"/>
          <w:szCs w:val="24"/>
          <w:lang w:val="mn-MN"/>
        </w:rPr>
        <w:lastRenderedPageBreak/>
        <w:t>Нийтдээ 30 хүртэлх оноогоор дүгнэдэг. 24-30 оноо онцгой сайн. 16-23 эерэг.  8-15 анхаарал татах. 7</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оос доош сөрөг үнэлгээ.  Хэрэв багш  үнэлгээг зөвшөөрөхгүй бол давж заалдах эрхтэй. Багш тухайн үнэлгээг зөвшөөрөхгүй бол 14 хоногийн дотор гомдлоо гаргаж шийдвэрлүүлнэ. 2 жил дараалан сөрөг үнэлгээ авбал тухайн багшийн ажиллах эсэх асуудлыг ярьдаг. Хэрэв 24-өөс дээш оноо авбал цалин өндөр хувиар нэмэгддэг. Багшийн ажлыг үнэлэхдээ хэдийгээр гурван үндсэн үзүүлэлт байгаа боловч гадаадын болон дотоодын ямар сэтгүүлд өгүүлэл хэвлүүлсэн, оролцсон олон улсын хурал, хэвлэн нийтлүүлсэн ном сурах бичиг, төгсөлтийн дараах сургалтанд ямар үүрэг гүйцэтгэдэг, хэдэн магистр, доктор хамгаалуулсан зэрэг эрдэм шинжилгээ, шинжлэх ухааны хөгжилд оруулсан хувь нэмрийг нь илүү их  харгалзан үзэж, дүгнэдэг практик байна. Энэ нь тухайн багш нарыг судалгаа, шинжилгээний ажилд илүү их анхаардаг болгодог байна </w:t>
      </w:r>
    </w:p>
    <w:p w14:paraId="65FF818C" w14:textId="77777777" w:rsidR="00FE25FF" w:rsidRPr="00E30F42" w:rsidRDefault="00FE25FF" w:rsidP="00FE25FF">
      <w:pPr>
        <w:tabs>
          <w:tab w:val="left" w:pos="1440"/>
        </w:tabs>
        <w:spacing w:line="240" w:lineRule="auto"/>
        <w:ind w:firstLine="720"/>
        <w:rPr>
          <w:rFonts w:ascii="Times New Roman" w:hAnsi="Times New Roman" w:cs="Times New Roman"/>
          <w:b/>
          <w:sz w:val="24"/>
          <w:szCs w:val="24"/>
          <w:u w:val="single"/>
          <w:lang w:val="mn-MN"/>
        </w:rPr>
      </w:pPr>
      <w:r w:rsidRPr="00E30F42">
        <w:rPr>
          <w:rFonts w:ascii="Times New Roman" w:hAnsi="Times New Roman" w:cs="Times New Roman"/>
          <w:b/>
          <w:sz w:val="24"/>
          <w:szCs w:val="24"/>
          <w:u w:val="single"/>
          <w:lang w:val="mn-MN"/>
        </w:rPr>
        <w:t>Англи улсын туршлага:</w:t>
      </w:r>
    </w:p>
    <w:p w14:paraId="1619BE24" w14:textId="77777777" w:rsidR="00FE25FF" w:rsidRPr="00E30F42" w:rsidRDefault="00FE25FF" w:rsidP="00FE25FF">
      <w:pPr>
        <w:tabs>
          <w:tab w:val="left" w:pos="144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Эрдмийн зэрэгтэй хүн байсан ч гэсэн заавал профессор байх албагүй багшийн албан тушаал дээр ч байх боломжтой. Тухайн багшийн туршлага маш их хамаатай. Түүнчлэн тухайн багшийн сонирхол их чухал. Жишээлбэл, Английн Бристолын Их Сургууль нь профессор болох 3 төрлийн хувилбартай. Үүнд: </w:t>
      </w:r>
    </w:p>
    <w:p w14:paraId="74A01C3A" w14:textId="77777777" w:rsidR="00FE25FF" w:rsidRPr="00E30F42" w:rsidRDefault="00FE25FF" w:rsidP="00FE25FF">
      <w:pPr>
        <w:pStyle w:val="ListParagraph"/>
        <w:numPr>
          <w:ilvl w:val="0"/>
          <w:numId w:val="4"/>
        </w:numPr>
        <w:tabs>
          <w:tab w:val="left" w:pos="990"/>
        </w:tabs>
        <w:spacing w:line="240" w:lineRule="auto"/>
        <w:ind w:left="0" w:firstLine="720"/>
        <w:rPr>
          <w:rFonts w:cs="Times New Roman"/>
          <w:szCs w:val="24"/>
          <w:lang w:val="mn-MN"/>
        </w:rPr>
      </w:pPr>
      <w:r w:rsidRPr="00E30F42">
        <w:rPr>
          <w:rFonts w:cs="Times New Roman"/>
          <w:szCs w:val="24"/>
          <w:lang w:val="mn-MN"/>
        </w:rPr>
        <w:t>Судалгаа хийх, багшлах, захиргааны ажил 3-ыг зэрэгцүүлэн ажиллах</w:t>
      </w:r>
    </w:p>
    <w:p w14:paraId="3D67E344" w14:textId="77777777" w:rsidR="00FE25FF" w:rsidRPr="00E30F42" w:rsidRDefault="00FE25FF" w:rsidP="00FE25FF">
      <w:pPr>
        <w:pStyle w:val="ListParagraph"/>
        <w:numPr>
          <w:ilvl w:val="0"/>
          <w:numId w:val="4"/>
        </w:numPr>
        <w:tabs>
          <w:tab w:val="left" w:pos="990"/>
        </w:tabs>
        <w:spacing w:line="240" w:lineRule="auto"/>
        <w:ind w:left="0" w:firstLine="720"/>
        <w:rPr>
          <w:rFonts w:cs="Times New Roman"/>
          <w:szCs w:val="24"/>
          <w:lang w:val="mn-MN"/>
        </w:rPr>
      </w:pPr>
      <w:r w:rsidRPr="00E30F42">
        <w:rPr>
          <w:rFonts w:cs="Times New Roman"/>
          <w:szCs w:val="24"/>
          <w:lang w:val="mn-MN"/>
        </w:rPr>
        <w:t>Судалгааг голчлон хийхийн  хажуугаар захиргааны ажил, багшлах ажилд бага оролцох</w:t>
      </w:r>
    </w:p>
    <w:p w14:paraId="55868DD4" w14:textId="77777777" w:rsidR="00FE25FF" w:rsidRPr="00E30F42" w:rsidRDefault="00FE25FF" w:rsidP="00FE25FF">
      <w:pPr>
        <w:pStyle w:val="ListParagraph"/>
        <w:numPr>
          <w:ilvl w:val="0"/>
          <w:numId w:val="4"/>
        </w:numPr>
        <w:tabs>
          <w:tab w:val="left" w:pos="990"/>
        </w:tabs>
        <w:spacing w:line="240" w:lineRule="auto"/>
        <w:ind w:left="0" w:firstLine="720"/>
        <w:rPr>
          <w:rFonts w:cs="Times New Roman"/>
          <w:szCs w:val="24"/>
          <w:lang w:val="mn-MN"/>
        </w:rPr>
      </w:pPr>
      <w:r w:rsidRPr="00E30F42">
        <w:rPr>
          <w:rFonts w:cs="Times New Roman"/>
          <w:szCs w:val="24"/>
          <w:lang w:val="mn-MN"/>
        </w:rPr>
        <w:t>Багшлах дээр төвлөрч ажиллахын хажуугаар захиргааны ажилд оролцох</w:t>
      </w:r>
    </w:p>
    <w:p w14:paraId="25FBEDF6"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Энэхүү сургуулийн цалингийн систем нь онооны системээр бодогддог. Жишээ нь: 1</w:t>
      </w:r>
      <w:r w:rsidRPr="00E30F42">
        <w:rPr>
          <w:rFonts w:ascii="Times New Roman" w:hAnsi="Times New Roman" w:cs="Times New Roman"/>
          <w:sz w:val="24"/>
          <w:szCs w:val="24"/>
        </w:rPr>
        <w:t>0</w:t>
      </w:r>
      <w:r w:rsidRPr="00E30F42">
        <w:rPr>
          <w:rFonts w:ascii="Times New Roman" w:hAnsi="Times New Roman" w:cs="Times New Roman"/>
          <w:sz w:val="24"/>
          <w:szCs w:val="24"/>
          <w:lang w:val="mn-MN"/>
        </w:rPr>
        <w:t xml:space="preserve"> оноотой хүний жилийн цалин 60823 фунт стерлинг байхад 20 оноотой хүний жилийн цалин 102661 фунт стерлинг байна. Дээрх 3 замын аль жимээр өгсөн дэвшиж байгаагаас нь хамаараад үнэлгээний систем нь өөр өөр байдаг. </w:t>
      </w:r>
    </w:p>
    <w:p w14:paraId="4CE4B814" w14:textId="77777777" w:rsidR="00FE25FF" w:rsidRPr="00E30F42" w:rsidRDefault="00FE25FF" w:rsidP="00FE25FF">
      <w:pPr>
        <w:tabs>
          <w:tab w:val="left" w:pos="1440"/>
        </w:tabs>
        <w:spacing w:line="240" w:lineRule="auto"/>
        <w:ind w:firstLine="36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Бристолын Их Сургуулийн Профессор болох 3 жимийг дараах зурагт харуулав.</w:t>
      </w:r>
    </w:p>
    <w:p w14:paraId="7D76BC91" w14:textId="77777777" w:rsidR="00FE25FF" w:rsidRPr="00E30F42" w:rsidRDefault="00FE25FF" w:rsidP="00FE25FF">
      <w:pPr>
        <w:tabs>
          <w:tab w:val="left" w:pos="1440"/>
        </w:tabs>
        <w:spacing w:line="240" w:lineRule="auto"/>
        <w:ind w:firstLine="360"/>
        <w:rPr>
          <w:rFonts w:ascii="Times New Roman" w:hAnsi="Times New Roman" w:cs="Times New Roman"/>
          <w:sz w:val="24"/>
          <w:szCs w:val="24"/>
          <w:lang w:val="mn-MN"/>
        </w:rPr>
      </w:pPr>
      <w:r w:rsidRPr="00E30F42">
        <w:rPr>
          <w:rFonts w:ascii="Times New Roman" w:hAnsi="Times New Roman" w:cs="Times New Roman"/>
          <w:noProof/>
          <w:sz w:val="24"/>
          <w:szCs w:val="24"/>
        </w:rPr>
        <w:lastRenderedPageBreak/>
        <w:drawing>
          <wp:inline distT="0" distB="0" distL="0" distR="0" wp14:anchorId="602CEA2C" wp14:editId="362075FF">
            <wp:extent cx="5400675" cy="4114800"/>
            <wp:effectExtent l="19050" t="19050" r="28575" b="190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7983" t="13498" r="19127" b="6622"/>
                    <a:stretch/>
                  </pic:blipFill>
                  <pic:spPr bwMode="auto">
                    <a:xfrm>
                      <a:off x="0" y="0"/>
                      <a:ext cx="5424828" cy="413320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F2CF6B1" w14:textId="77777777" w:rsidR="00FE25FF" w:rsidRPr="00E30F42" w:rsidRDefault="00FE25FF" w:rsidP="00FE25FF">
      <w:pPr>
        <w:tabs>
          <w:tab w:val="left" w:pos="1440"/>
        </w:tabs>
        <w:spacing w:line="240" w:lineRule="auto"/>
        <w:ind w:firstLine="360"/>
        <w:jc w:val="center"/>
        <w:rPr>
          <w:rFonts w:ascii="Times New Roman" w:hAnsi="Times New Roman" w:cs="Times New Roman"/>
          <w:i/>
          <w:sz w:val="24"/>
          <w:szCs w:val="24"/>
        </w:rPr>
      </w:pPr>
      <w:r w:rsidRPr="00E30F42">
        <w:rPr>
          <w:rFonts w:ascii="Times New Roman" w:hAnsi="Times New Roman" w:cs="Times New Roman"/>
          <w:i/>
          <w:sz w:val="24"/>
          <w:szCs w:val="24"/>
          <w:lang w:val="mn-MN"/>
        </w:rPr>
        <w:t>Эх сурвалж:</w:t>
      </w:r>
      <w:r w:rsidRPr="00E30F42">
        <w:rPr>
          <w:rFonts w:ascii="Times New Roman" w:hAnsi="Times New Roman" w:cs="Times New Roman"/>
          <w:i/>
          <w:sz w:val="24"/>
          <w:szCs w:val="24"/>
        </w:rPr>
        <w:t>www.brictol.ac.uk/grading/academic/diagram.pdf.</w:t>
      </w:r>
    </w:p>
    <w:p w14:paraId="0B00D36C" w14:textId="77777777" w:rsidR="00FE25FF" w:rsidRPr="00E30F42" w:rsidRDefault="00FE25FF" w:rsidP="00FE25FF">
      <w:pPr>
        <w:tabs>
          <w:tab w:val="left" w:pos="1440"/>
        </w:tabs>
        <w:spacing w:line="240" w:lineRule="auto"/>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Нэгэнтээ дээрх 3 жимээс нэгийг нь сонгон ажиллаж эхэлсэн бол өөр жимээр өсөн дэвжих боломж бараг байхгүй. Харин жим дотроо түвшин алгасах, ахих боломжтой. </w:t>
      </w:r>
    </w:p>
    <w:p w14:paraId="39BB9806" w14:textId="77777777" w:rsidR="00FE25FF" w:rsidRPr="00E30F42" w:rsidRDefault="00FE25FF" w:rsidP="00FE25FF">
      <w:pPr>
        <w:tabs>
          <w:tab w:val="left" w:pos="720"/>
        </w:tabs>
        <w:spacing w:line="240" w:lineRule="auto"/>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ab/>
        <w:t>Өөрийн орны их, дээд сургуулиудын багшийн ажлыг үнэлэх нийтлэг журмыг харьцуулан харахад  багшийн үйл ажиллагааг сургалтад  чиглүүлсэн, сургалтын цагийн ачаалал хэт өндөр, эрдэм шинжилгээ судалгааны ажлын норм бага, гүйцэтгэлийг хэт багаар үнэлэх хандлага ажиглагдаж байна. Үндсэндээ их сургуулийн багш нар сургалтын ажил гүйцэтгэхээр зохион байгуулагдсан нь харагдаж байна. Энэ нь багш нарыг хичээл заахад гол үйл ажиллагаагаа чиглүүлдэг хэв шинжийн болгон төлөвшүүлж, судалгаа хийх, төсөл хөтөлбөрт оролцоход цаг хугацаа, орчны хүчин зүйлээр хязгаарлаж байна. Эдгээр  шинэчлэгдсэн журамд</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МУИС</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2014,</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МУБИС.,2014</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 xml:space="preserve"> багшийн сургалтын цагийн хэмжээ огт буураагүй байгаа нь их, дээд сургуулийн багшийг судлаач-багш болгох нөхцөл боломж тавигдаж чадсангүй гэсэн дүгнэлтийг хийхэд хүргэж байна. </w:t>
      </w:r>
    </w:p>
    <w:p w14:paraId="6CC3E416" w14:textId="77777777" w:rsidR="00FE25FF" w:rsidRPr="00E30F42" w:rsidRDefault="00FE25FF" w:rsidP="00FE25FF">
      <w:pPr>
        <w:tabs>
          <w:tab w:val="left" w:pos="1440"/>
        </w:tabs>
        <w:spacing w:line="240" w:lineRule="auto"/>
        <w:ind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Хөгжингүй орнуудын их, дээд сургуулийн багшийн зэрэглэл, албан тушаалын шатлал нь тухайн багш судлаач байх, хичээл заах, эдгээрийг хослуулах зэргээр эхнээсээ шатлалаа сонгон, түүнд тохирсон шалгуураа даван ажилладаг учраас тэр чиглэлдээ илүү гүнзгийрэн мэргэших боломжийг олгодог байна. Шатлал бүрийн шалгуур нь ч өөр байдаг. Нөгөө талаас их, дээд сургуулийг инновацийг бий болгогч, технологийг бүтээгч гэж үздэг учраас багш нарынхаа судалгаа хийхийг голлон анхаарч үнэлгээний эхэнд нь багшийн </w:t>
      </w:r>
      <w:r w:rsidRPr="00E30F42">
        <w:rPr>
          <w:rFonts w:ascii="Times New Roman" w:hAnsi="Times New Roman" w:cs="Times New Roman"/>
          <w:sz w:val="24"/>
          <w:szCs w:val="24"/>
          <w:lang w:val="mn-MN"/>
        </w:rPr>
        <w:lastRenderedPageBreak/>
        <w:t xml:space="preserve">судалгаа, шинжлэх ухааны хөгжилд оруулж байгаа хувь нэмрийг илүү үнэлж байгаагаас харж болохоор байна. </w:t>
      </w:r>
    </w:p>
    <w:p w14:paraId="32120BE4" w14:textId="77777777" w:rsidR="00FE25FF" w:rsidRPr="00E30F42" w:rsidRDefault="00FE25FF" w:rsidP="00FE25FF">
      <w:pPr>
        <w:tabs>
          <w:tab w:val="left" w:pos="1440"/>
        </w:tabs>
        <w:spacing w:line="240" w:lineRule="auto"/>
        <w:jc w:val="both"/>
        <w:rPr>
          <w:rFonts w:ascii="Times New Roman" w:hAnsi="Times New Roman" w:cs="Times New Roman"/>
          <w:sz w:val="24"/>
          <w:szCs w:val="24"/>
          <w:lang w:val="mn-MN"/>
        </w:rPr>
      </w:pPr>
      <w:r w:rsidRPr="00E30F42">
        <w:rPr>
          <w:rFonts w:ascii="Times New Roman" w:hAnsi="Times New Roman" w:cs="Times New Roman"/>
          <w:i/>
          <w:iCs/>
          <w:sz w:val="24"/>
          <w:szCs w:val="24"/>
        </w:rPr>
        <w:t>Nicholls,</w:t>
      </w:r>
      <w:r w:rsidRPr="00E30F42">
        <w:rPr>
          <w:rFonts w:ascii="Times New Roman" w:hAnsi="Times New Roman" w:cs="Times New Roman"/>
          <w:i/>
          <w:iCs/>
          <w:sz w:val="24"/>
          <w:szCs w:val="24"/>
          <w:lang w:val="mn-MN"/>
        </w:rPr>
        <w:t xml:space="preserve"> </w:t>
      </w:r>
      <w:r w:rsidRPr="00E30F42">
        <w:rPr>
          <w:rFonts w:ascii="Times New Roman" w:hAnsi="Times New Roman" w:cs="Times New Roman"/>
          <w:i/>
          <w:iCs/>
          <w:sz w:val="24"/>
          <w:szCs w:val="24"/>
        </w:rPr>
        <w:t>Brew (2007)</w:t>
      </w:r>
      <w:r w:rsidRPr="00E30F42">
        <w:rPr>
          <w:rFonts w:ascii="Times New Roman" w:hAnsi="Times New Roman" w:cs="Times New Roman"/>
          <w:i/>
          <w:iCs/>
          <w:sz w:val="24"/>
          <w:szCs w:val="24"/>
          <w:lang w:val="mn-MN"/>
        </w:rPr>
        <w:t xml:space="preserve"> </w:t>
      </w:r>
      <w:r w:rsidRPr="00E30F42">
        <w:rPr>
          <w:rFonts w:ascii="Times New Roman" w:hAnsi="Times New Roman" w:cs="Times New Roman"/>
          <w:iCs/>
          <w:sz w:val="24"/>
          <w:szCs w:val="24"/>
          <w:lang w:val="mn-MN"/>
        </w:rPr>
        <w:t>нар</w:t>
      </w:r>
      <w:r w:rsidRPr="00E30F42">
        <w:rPr>
          <w:rFonts w:ascii="Times New Roman" w:hAnsi="Times New Roman" w:cs="Times New Roman"/>
          <w:sz w:val="24"/>
          <w:szCs w:val="24"/>
          <w:lang w:val="mn-MN"/>
        </w:rPr>
        <w:t xml:space="preserve"> хөгжиж буй улс орнуудын их, дээд сургуулийн багш нарт тохиолдож буй зарим бэрхшээлийг дараах байдлаар авч үзсэн. </w:t>
      </w:r>
    </w:p>
    <w:p w14:paraId="795EF2E1" w14:textId="77777777" w:rsidR="00FE25FF" w:rsidRPr="00E30F42" w:rsidRDefault="00FE25FF" w:rsidP="00FE25FF">
      <w:pPr>
        <w:pStyle w:val="ListParagraph"/>
        <w:numPr>
          <w:ilvl w:val="0"/>
          <w:numId w:val="5"/>
        </w:numPr>
        <w:tabs>
          <w:tab w:val="left" w:pos="900"/>
        </w:tabs>
        <w:spacing w:line="240" w:lineRule="auto"/>
        <w:ind w:left="0" w:firstLine="720"/>
        <w:jc w:val="both"/>
        <w:rPr>
          <w:rFonts w:cs="Times New Roman"/>
          <w:szCs w:val="24"/>
          <w:lang w:bidi="bo-CN"/>
        </w:rPr>
      </w:pPr>
      <w:r w:rsidRPr="00E30F42">
        <w:rPr>
          <w:rFonts w:cs="Times New Roman"/>
          <w:szCs w:val="24"/>
          <w:lang w:val="mn-MN"/>
        </w:rPr>
        <w:t>Судалгаа болон сургалтын  хоорондын харилц</w:t>
      </w:r>
      <w:r w:rsidRPr="00E30F42">
        <w:rPr>
          <w:rFonts w:cs="Times New Roman"/>
          <w:szCs w:val="24"/>
        </w:rPr>
        <w:t>a</w:t>
      </w:r>
      <w:r w:rsidRPr="00E30F42">
        <w:rPr>
          <w:rFonts w:cs="Times New Roman"/>
          <w:szCs w:val="24"/>
          <w:lang w:val="mn-MN"/>
        </w:rPr>
        <w:t xml:space="preserve">аны тэгш хэм алдагдсан. Сургалт хэт давамгайлсан.  </w:t>
      </w:r>
    </w:p>
    <w:p w14:paraId="4A98A5C3" w14:textId="77777777" w:rsidR="00FE25FF" w:rsidRPr="00E30F42" w:rsidRDefault="00FE25FF" w:rsidP="00FE25FF">
      <w:pPr>
        <w:pStyle w:val="ListParagraph"/>
        <w:numPr>
          <w:ilvl w:val="0"/>
          <w:numId w:val="5"/>
        </w:numPr>
        <w:tabs>
          <w:tab w:val="left" w:pos="900"/>
        </w:tabs>
        <w:spacing w:line="240" w:lineRule="auto"/>
        <w:ind w:left="0" w:firstLine="720"/>
        <w:jc w:val="both"/>
        <w:rPr>
          <w:rFonts w:cs="Times New Roman"/>
          <w:szCs w:val="24"/>
          <w:lang w:bidi="bo-CN"/>
        </w:rPr>
      </w:pPr>
      <w:r w:rsidRPr="00E30F42">
        <w:rPr>
          <w:rFonts w:eastAsia="Times New Roman" w:cs="Times New Roman"/>
          <w:szCs w:val="24"/>
          <w:lang w:val="mn-MN" w:bidi="bo-CN"/>
        </w:rPr>
        <w:t xml:space="preserve">Судалгаа хийх, бүтээл хэвлэн нийтлүүлэх нь  албан тушаал дэвших, цалин нэмэх, урамшуулалтай уялдахгүй байна.  </w:t>
      </w:r>
      <w:r w:rsidRPr="00E30F42">
        <w:rPr>
          <w:rFonts w:eastAsia="Times New Roman" w:cs="Times New Roman"/>
          <w:i/>
          <w:iCs/>
          <w:szCs w:val="24"/>
          <w:lang w:bidi="bo-CN"/>
        </w:rPr>
        <w:t>(Nicholls, 2005)</w:t>
      </w:r>
    </w:p>
    <w:p w14:paraId="5D1C05A0" w14:textId="77777777" w:rsidR="00FE25FF" w:rsidRPr="00E30F42" w:rsidRDefault="00FE25FF" w:rsidP="00FE25FF">
      <w:pPr>
        <w:numPr>
          <w:ilvl w:val="0"/>
          <w:numId w:val="5"/>
        </w:numPr>
        <w:tabs>
          <w:tab w:val="left" w:pos="900"/>
        </w:tabs>
        <w:spacing w:after="0" w:line="240" w:lineRule="auto"/>
        <w:ind w:left="0" w:firstLine="720"/>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Судалгаа хийх, багшлах нь цаг хугацаа, нөөц болон орон зайн хувьд зөрчилдөөнийг бий болгож байна. </w:t>
      </w:r>
      <w:r w:rsidRPr="00E30F42">
        <w:rPr>
          <w:rFonts w:ascii="Times New Roman" w:hAnsi="Times New Roman" w:cs="Times New Roman"/>
          <w:i/>
          <w:iCs/>
          <w:sz w:val="24"/>
          <w:szCs w:val="24"/>
        </w:rPr>
        <w:t>(Brew</w:t>
      </w:r>
      <w:r w:rsidRPr="00E30F42">
        <w:rPr>
          <w:rFonts w:ascii="Times New Roman" w:hAnsi="Times New Roman" w:cs="Times New Roman"/>
          <w:i/>
          <w:iCs/>
          <w:sz w:val="24"/>
          <w:szCs w:val="24"/>
          <w:lang w:val="mn-MN"/>
        </w:rPr>
        <w:t>,</w:t>
      </w:r>
      <w:r w:rsidRPr="00E30F42">
        <w:rPr>
          <w:rFonts w:ascii="Times New Roman" w:hAnsi="Times New Roman" w:cs="Times New Roman"/>
          <w:i/>
          <w:iCs/>
          <w:sz w:val="24"/>
          <w:szCs w:val="24"/>
        </w:rPr>
        <w:t xml:space="preserve"> 2007)</w:t>
      </w:r>
      <w:r w:rsidRPr="00E30F42">
        <w:rPr>
          <w:rFonts w:ascii="Times New Roman" w:hAnsi="Times New Roman" w:cs="Times New Roman"/>
          <w:iCs/>
          <w:sz w:val="24"/>
          <w:szCs w:val="24"/>
        </w:rPr>
        <w:t xml:space="preserve"> </w:t>
      </w:r>
      <w:r w:rsidRPr="00E30F42">
        <w:rPr>
          <w:rFonts w:ascii="Times New Roman" w:hAnsi="Times New Roman" w:cs="Times New Roman"/>
          <w:iCs/>
          <w:sz w:val="24"/>
          <w:szCs w:val="24"/>
          <w:lang w:val="mn-MN"/>
        </w:rPr>
        <w:t xml:space="preserve"> </w:t>
      </w:r>
    </w:p>
    <w:p w14:paraId="1710B886" w14:textId="77777777" w:rsidR="00FE25FF" w:rsidRPr="00E30F42" w:rsidRDefault="00FE25FF" w:rsidP="00FE25FF">
      <w:pPr>
        <w:tabs>
          <w:tab w:val="left" w:pos="720"/>
        </w:tabs>
        <w:spacing w:line="240" w:lineRule="auto"/>
        <w:jc w:val="both"/>
        <w:rPr>
          <w:rFonts w:ascii="Times New Roman" w:hAnsi="Times New Roman" w:cs="Times New Roman"/>
          <w:sz w:val="24"/>
          <w:szCs w:val="24"/>
        </w:rPr>
      </w:pPr>
      <w:r w:rsidRPr="00E30F42">
        <w:rPr>
          <w:rFonts w:ascii="Times New Roman" w:hAnsi="Times New Roman" w:cs="Times New Roman"/>
          <w:iCs/>
          <w:sz w:val="24"/>
          <w:szCs w:val="24"/>
          <w:lang w:val="mn-MN"/>
        </w:rPr>
        <w:tab/>
        <w:t xml:space="preserve">Өнөөдрийн нийгэм их, дээд сургуулийн багшаас судлаач-багш байхыг, их, дээд сургуулийг инноваци, технологи үйлдвэрлэхийг шаардаж байгаа нөхцөлд тийм боломжийг хэрхэн, ямар арга зам, арга хэрэгслээр бий болгох вэ, багшийн хөгжлийг сургалт төдийхнөөр ойлгодог ойлголтыг өөрчлөх, шинэ цаг үедээ зохицон ажиллах хэрэгцээ шаардлага туйлын чухал байгаа бөгөөд гэтэл энэ шаардлагад нийцэн багш нар хөгжиж чадахгүй, хөгжих боломж, орчин, нөхцөл нь бүрдэхгүй, хөгжлийг нь дэмжих хөшүүрэг, үнэлэмж хангалтгүй байгааг олон судалгаа харуулж байна. </w:t>
      </w:r>
      <w:r w:rsidRPr="00E30F42">
        <w:rPr>
          <w:rFonts w:ascii="Times New Roman" w:hAnsi="Times New Roman" w:cs="Times New Roman"/>
          <w:sz w:val="24"/>
          <w:szCs w:val="24"/>
          <w:lang w:val="mn-MN"/>
        </w:rPr>
        <w:t xml:space="preserve">Ийнхүү багшийн хөгжлийн түвшинг судалж, өнөөгийн байдалдаа үнэлгээ хийх нь цаашид багшийг хөгжүүлэх бодлого стратегийг тодорхойлох үндэслэл болно. Багшийн мэргэжлийг дээшлүүлнэ гэхээс илүү сургууль дээр багш хөгжих таатай орчин, нөхцөл бүрдүүлэх асуудалд цаашдаа анхаарах  хэрэгтэйг онцлон тэмдэглэж  байна. </w:t>
      </w:r>
    </w:p>
    <w:p w14:paraId="7783A7A5" w14:textId="77777777" w:rsidR="00FE25FF" w:rsidRPr="00E30F42" w:rsidRDefault="00FE25FF" w:rsidP="00FE25FF">
      <w:pPr>
        <w:tabs>
          <w:tab w:val="left" w:pos="720"/>
        </w:tabs>
        <w:spacing w:line="240" w:lineRule="auto"/>
        <w:jc w:val="both"/>
        <w:rPr>
          <w:rFonts w:ascii="Times New Roman" w:hAnsi="Times New Roman" w:cs="Times New Roman"/>
          <w:b/>
          <w:sz w:val="24"/>
          <w:szCs w:val="24"/>
          <w:lang w:val="mn-MN"/>
        </w:rPr>
      </w:pPr>
      <w:r w:rsidRPr="00E30F42">
        <w:rPr>
          <w:rFonts w:ascii="Times New Roman" w:hAnsi="Times New Roman" w:cs="Times New Roman"/>
          <w:b/>
          <w:sz w:val="24"/>
          <w:szCs w:val="24"/>
          <w:lang w:val="mn-MN"/>
        </w:rPr>
        <w:t xml:space="preserve">Ном зүй </w:t>
      </w:r>
    </w:p>
    <w:p w14:paraId="10C36346" w14:textId="77777777" w:rsidR="00FE25FF" w:rsidRDefault="00FE25FF" w:rsidP="00FE25FF">
      <w:pPr>
        <w:pStyle w:val="Bibliography"/>
        <w:ind w:left="720" w:hanging="720"/>
        <w:rPr>
          <w:noProof/>
          <w:szCs w:val="24"/>
        </w:rPr>
      </w:pPr>
      <w:r w:rsidRPr="00E30F42">
        <w:rPr>
          <w:rFonts w:eastAsia="Times New Roman" w:cs="Times New Roman"/>
          <w:szCs w:val="24"/>
          <w:lang w:val="mn-MN" w:bidi="bo-CN"/>
        </w:rPr>
        <w:fldChar w:fldCharType="begin"/>
      </w:r>
      <w:r w:rsidRPr="00E30F42">
        <w:rPr>
          <w:rFonts w:cs="Times New Roman"/>
          <w:szCs w:val="24"/>
        </w:rPr>
        <w:instrText xml:space="preserve"> BIBLIOGRAPHY  \l 1033 </w:instrText>
      </w:r>
      <w:r w:rsidRPr="00E30F42">
        <w:rPr>
          <w:rFonts w:eastAsia="Times New Roman" w:cs="Times New Roman"/>
          <w:szCs w:val="24"/>
          <w:lang w:val="mn-MN" w:bidi="bo-CN"/>
        </w:rPr>
        <w:fldChar w:fldCharType="separate"/>
      </w:r>
      <w:r>
        <w:rPr>
          <w:noProof/>
        </w:rPr>
        <w:t xml:space="preserve">Байгальмаа Ч. (2009). </w:t>
      </w:r>
      <w:r>
        <w:rPr>
          <w:i/>
          <w:iCs/>
          <w:noProof/>
        </w:rPr>
        <w:t>Багшийн хөгжлийн практик.</w:t>
      </w:r>
      <w:r>
        <w:rPr>
          <w:noProof/>
        </w:rPr>
        <w:t xml:space="preserve"> УБ.</w:t>
      </w:r>
    </w:p>
    <w:p w14:paraId="32C43159" w14:textId="77777777" w:rsidR="00FE25FF" w:rsidRDefault="00FE25FF" w:rsidP="00FE25FF">
      <w:pPr>
        <w:pStyle w:val="Bibliography"/>
        <w:ind w:left="720" w:hanging="720"/>
        <w:rPr>
          <w:noProof/>
        </w:rPr>
      </w:pPr>
      <w:r>
        <w:rPr>
          <w:noProof/>
        </w:rPr>
        <w:t xml:space="preserve">Я.Отгонбаяр. (2015). Их, дээд сургуулийн багшийн хөгжлийн социологийн шинжилгээ. </w:t>
      </w:r>
      <w:r>
        <w:rPr>
          <w:i/>
          <w:iCs/>
          <w:noProof/>
        </w:rPr>
        <w:t>докторын диссертаци</w:t>
      </w:r>
      <w:r>
        <w:rPr>
          <w:noProof/>
        </w:rPr>
        <w:t>.</w:t>
      </w:r>
    </w:p>
    <w:p w14:paraId="2BA5F0A9" w14:textId="77777777" w:rsidR="00FE25FF" w:rsidRDefault="00FE25FF" w:rsidP="00FE25FF">
      <w:pPr>
        <w:pStyle w:val="Bibliography"/>
        <w:ind w:left="720" w:hanging="720"/>
        <w:rPr>
          <w:noProof/>
        </w:rPr>
      </w:pPr>
      <w:r>
        <w:rPr>
          <w:noProof/>
        </w:rPr>
        <w:t xml:space="preserve">УИХ. (2006). </w:t>
      </w:r>
      <w:r>
        <w:rPr>
          <w:i/>
          <w:iCs/>
          <w:noProof/>
        </w:rPr>
        <w:t>Шинжлэх ухаан, технологийн тухай хууль.</w:t>
      </w:r>
      <w:r>
        <w:rPr>
          <w:noProof/>
        </w:rPr>
        <w:t xml:space="preserve"> Улаанбаатар.</w:t>
      </w:r>
    </w:p>
    <w:p w14:paraId="180E4842" w14:textId="77777777" w:rsidR="00FE25FF" w:rsidRDefault="00FE25FF" w:rsidP="00FE25FF">
      <w:pPr>
        <w:pStyle w:val="Bibliography"/>
        <w:ind w:left="720" w:hanging="720"/>
        <w:rPr>
          <w:noProof/>
        </w:rPr>
      </w:pPr>
      <w:r>
        <w:rPr>
          <w:noProof/>
        </w:rPr>
        <w:t xml:space="preserve">яам, А. ү. (2015). </w:t>
      </w:r>
      <w:r>
        <w:rPr>
          <w:i/>
          <w:iCs/>
          <w:noProof/>
        </w:rPr>
        <w:t>Аж үйлдвэрийн талаар баримтлах бодлого.</w:t>
      </w:r>
      <w:r>
        <w:rPr>
          <w:noProof/>
        </w:rPr>
        <w:t xml:space="preserve"> Улаанбаатар.</w:t>
      </w:r>
    </w:p>
    <w:p w14:paraId="76F6BCAD" w14:textId="77777777" w:rsidR="00FE25FF" w:rsidRDefault="00FE25FF" w:rsidP="00FE25FF">
      <w:pPr>
        <w:pStyle w:val="Bibliography"/>
        <w:ind w:left="720" w:hanging="720"/>
        <w:rPr>
          <w:noProof/>
        </w:rPr>
      </w:pPr>
      <w:r>
        <w:rPr>
          <w:noProof/>
        </w:rPr>
        <w:t xml:space="preserve">МУЗГ. (1992). Монгол улсын засгийн газрын мөрийн хөтөлбөр /1992-1996/. </w:t>
      </w:r>
      <w:r>
        <w:rPr>
          <w:i/>
          <w:iCs/>
          <w:noProof/>
        </w:rPr>
        <w:t>Үнэн</w:t>
      </w:r>
      <w:r>
        <w:rPr>
          <w:noProof/>
        </w:rPr>
        <w:t>, 1.</w:t>
      </w:r>
    </w:p>
    <w:p w14:paraId="72B13B98" w14:textId="77777777" w:rsidR="00FE25FF" w:rsidRDefault="00FE25FF" w:rsidP="00FE25FF">
      <w:pPr>
        <w:pStyle w:val="Bibliography"/>
        <w:ind w:left="720" w:hanging="720"/>
        <w:rPr>
          <w:noProof/>
        </w:rPr>
      </w:pPr>
      <w:r>
        <w:rPr>
          <w:noProof/>
        </w:rPr>
        <w:t xml:space="preserve">БСШУ. (2007). </w:t>
      </w:r>
      <w:r>
        <w:rPr>
          <w:i/>
          <w:iCs/>
          <w:noProof/>
        </w:rPr>
        <w:t>Монгол Улсын Шинжлэх Ухаан, Технологийг 2007-2020 онд хөгжүүлэх мастер төлөвлөгөө.</w:t>
      </w:r>
      <w:r>
        <w:rPr>
          <w:noProof/>
        </w:rPr>
        <w:t xml:space="preserve"> Улаанбаатар: Содпресс.</w:t>
      </w:r>
    </w:p>
    <w:p w14:paraId="14483513" w14:textId="77777777" w:rsidR="00FE25FF" w:rsidRDefault="00FE25FF" w:rsidP="00FE25FF">
      <w:pPr>
        <w:pStyle w:val="Bibliography"/>
        <w:ind w:left="720" w:hanging="720"/>
        <w:rPr>
          <w:noProof/>
        </w:rPr>
      </w:pPr>
      <w:r>
        <w:rPr>
          <w:noProof/>
        </w:rPr>
        <w:t xml:space="preserve">МУЗГ. (2011). </w:t>
      </w:r>
      <w:r>
        <w:rPr>
          <w:i/>
          <w:iCs/>
          <w:noProof/>
        </w:rPr>
        <w:t>Хувийн хэвшлийн хөгжлийг дэмжих үндэсний стратеги.</w:t>
      </w:r>
      <w:r>
        <w:rPr>
          <w:noProof/>
        </w:rPr>
        <w:t xml:space="preserve"> Улаанбаатар.</w:t>
      </w:r>
    </w:p>
    <w:p w14:paraId="3128E14F" w14:textId="77777777" w:rsidR="00FE25FF" w:rsidRDefault="00FE25FF" w:rsidP="00FE25FF">
      <w:pPr>
        <w:pStyle w:val="Bibliography"/>
        <w:ind w:left="720" w:hanging="720"/>
        <w:rPr>
          <w:noProof/>
        </w:rPr>
      </w:pPr>
      <w:r>
        <w:rPr>
          <w:noProof/>
        </w:rPr>
        <w:t>ХСИС. (2013).</w:t>
      </w:r>
    </w:p>
    <w:p w14:paraId="08587183" w14:textId="77777777" w:rsidR="00FE25FF" w:rsidRDefault="00FE25FF" w:rsidP="00FE25FF">
      <w:pPr>
        <w:pStyle w:val="Bibliography"/>
        <w:ind w:left="720" w:hanging="720"/>
        <w:rPr>
          <w:noProof/>
        </w:rPr>
      </w:pPr>
      <w:r>
        <w:rPr>
          <w:noProof/>
        </w:rPr>
        <w:t xml:space="preserve">МУИС. (2014). </w:t>
      </w:r>
      <w:r>
        <w:rPr>
          <w:i/>
          <w:iCs/>
          <w:noProof/>
        </w:rPr>
        <w:t>МУИС-ийн багшийн орон тоо, ажлын үнэлгээний журам.</w:t>
      </w:r>
      <w:r>
        <w:rPr>
          <w:noProof/>
        </w:rPr>
        <w:t xml:space="preserve"> Захиралын 652 тоот тушаалын хавсралт 4.</w:t>
      </w:r>
    </w:p>
    <w:p w14:paraId="440771F3" w14:textId="77777777" w:rsidR="00FE25FF" w:rsidRDefault="00FE25FF" w:rsidP="00FE25FF">
      <w:pPr>
        <w:pStyle w:val="Bibliography"/>
        <w:ind w:left="720" w:hanging="720"/>
        <w:rPr>
          <w:noProof/>
        </w:rPr>
      </w:pPr>
      <w:r>
        <w:rPr>
          <w:noProof/>
        </w:rPr>
        <w:lastRenderedPageBreak/>
        <w:t xml:space="preserve">Даваа Ж, ба бусад. (2012). </w:t>
      </w:r>
      <w:r>
        <w:rPr>
          <w:i/>
          <w:iCs/>
          <w:noProof/>
        </w:rPr>
        <w:t>Их дээд сургууль, коллежийн багшийн хөгжлийн судалгаа.</w:t>
      </w:r>
      <w:r>
        <w:rPr>
          <w:noProof/>
        </w:rPr>
        <w:t xml:space="preserve"> УБ.</w:t>
      </w:r>
    </w:p>
    <w:p w14:paraId="6CAB5C6E" w14:textId="77777777" w:rsidR="00FE25FF" w:rsidRDefault="00FE25FF" w:rsidP="00FE25FF">
      <w:pPr>
        <w:pStyle w:val="Bibliography"/>
        <w:ind w:left="720" w:hanging="720"/>
        <w:rPr>
          <w:noProof/>
        </w:rPr>
      </w:pPr>
      <w:r>
        <w:rPr>
          <w:noProof/>
        </w:rPr>
        <w:t xml:space="preserve">Акиро Аримото. (2012). </w:t>
      </w:r>
      <w:r>
        <w:rPr>
          <w:i/>
          <w:iCs/>
          <w:noProof/>
        </w:rPr>
        <w:t>Reaction to academic ranking in Japanies.</w:t>
      </w:r>
      <w:r>
        <w:rPr>
          <w:noProof/>
        </w:rPr>
        <w:t xml:space="preserve"> Retrieved from From. URL: http:/www. Researchgate.net/publication/ 226816799</w:t>
      </w:r>
    </w:p>
    <w:p w14:paraId="0505CA0C" w14:textId="77777777" w:rsidR="00FE25FF" w:rsidRDefault="00FE25FF" w:rsidP="00FE25FF">
      <w:pPr>
        <w:pStyle w:val="Bibliography"/>
        <w:ind w:left="720" w:hanging="720"/>
        <w:rPr>
          <w:noProof/>
        </w:rPr>
      </w:pPr>
      <w:r>
        <w:rPr>
          <w:noProof/>
        </w:rPr>
        <w:t>ШУТИС. (2013).</w:t>
      </w:r>
    </w:p>
    <w:p w14:paraId="4A24D8FE" w14:textId="77777777" w:rsidR="00FE25FF" w:rsidRDefault="00FE25FF" w:rsidP="00FE25FF">
      <w:pPr>
        <w:pStyle w:val="Bibliography"/>
        <w:ind w:left="720" w:hanging="720"/>
        <w:rPr>
          <w:noProof/>
        </w:rPr>
      </w:pPr>
      <w:r>
        <w:rPr>
          <w:noProof/>
        </w:rPr>
        <w:t xml:space="preserve">ХААИС. (2013). </w:t>
      </w:r>
      <w:r>
        <w:rPr>
          <w:i/>
          <w:iCs/>
          <w:noProof/>
        </w:rPr>
        <w:t>ХААИС-ийн профессор багшийн ажлыг төлөвлөх, гүйцэтгэлийг тооцох журам.</w:t>
      </w:r>
      <w:r>
        <w:rPr>
          <w:noProof/>
        </w:rPr>
        <w:t xml:space="preserve"> УБ.</w:t>
      </w:r>
    </w:p>
    <w:p w14:paraId="02A56FAE" w14:textId="77777777" w:rsidR="00FE25FF" w:rsidRDefault="00FE25FF" w:rsidP="00FE25FF">
      <w:pPr>
        <w:pStyle w:val="Bibliography"/>
        <w:ind w:left="720" w:hanging="720"/>
        <w:rPr>
          <w:noProof/>
        </w:rPr>
      </w:pPr>
      <w:r>
        <w:rPr>
          <w:noProof/>
        </w:rPr>
        <w:t xml:space="preserve">БСШУЯ. (2014). </w:t>
      </w:r>
      <w:r>
        <w:rPr>
          <w:i/>
          <w:iCs/>
          <w:noProof/>
        </w:rPr>
        <w:t>Эрдэм шинжилгээний байгууллагын дэргэд гарааны компани байгуулах журам.</w:t>
      </w:r>
      <w:r>
        <w:rPr>
          <w:noProof/>
        </w:rPr>
        <w:t xml:space="preserve"> Улаанбаатар.</w:t>
      </w:r>
    </w:p>
    <w:p w14:paraId="1FBA0CCD" w14:textId="77777777" w:rsidR="00FE25FF" w:rsidRDefault="00FE25FF" w:rsidP="00FE25FF">
      <w:pPr>
        <w:pStyle w:val="Bibliography"/>
        <w:ind w:left="720" w:hanging="720"/>
        <w:rPr>
          <w:noProof/>
        </w:rPr>
      </w:pPr>
      <w:r>
        <w:rPr>
          <w:noProof/>
        </w:rPr>
        <w:t xml:space="preserve">МУБИС. (2014). </w:t>
      </w:r>
      <w:r>
        <w:rPr>
          <w:i/>
          <w:iCs/>
          <w:noProof/>
        </w:rPr>
        <w:t>МУБИС-ийн профессор багшийн ажлыг үнэлэх, дүгнэх журам.</w:t>
      </w:r>
      <w:r>
        <w:rPr>
          <w:noProof/>
        </w:rPr>
        <w:t xml:space="preserve"> шинэчилсэн найруулгын төсөл.</w:t>
      </w:r>
    </w:p>
    <w:p w14:paraId="3F89DCDB" w14:textId="77777777" w:rsidR="00FE25FF" w:rsidRDefault="00FE25FF" w:rsidP="00FE25FF">
      <w:pPr>
        <w:pStyle w:val="Bibliography"/>
        <w:ind w:left="720" w:hanging="720"/>
        <w:rPr>
          <w:noProof/>
        </w:rPr>
      </w:pPr>
      <w:r>
        <w:rPr>
          <w:noProof/>
        </w:rPr>
        <w:t xml:space="preserve">Тамир, Ч., Мөнхбат, Л. (2013). </w:t>
      </w:r>
      <w:r>
        <w:rPr>
          <w:i/>
          <w:iCs/>
          <w:noProof/>
        </w:rPr>
        <w:t>Монголын дээд боловсролын бодлого: үнэлгээ ба шинжилгээ.</w:t>
      </w:r>
      <w:r>
        <w:rPr>
          <w:noProof/>
        </w:rPr>
        <w:t xml:space="preserve"> Улаанбаатар: Пикселс.</w:t>
      </w:r>
    </w:p>
    <w:p w14:paraId="26EA99DF" w14:textId="77777777" w:rsidR="00FE25FF" w:rsidRDefault="00FE25FF" w:rsidP="00FE25FF">
      <w:pPr>
        <w:pStyle w:val="Bibliography"/>
        <w:ind w:left="720" w:hanging="720"/>
        <w:rPr>
          <w:noProof/>
        </w:rPr>
      </w:pPr>
      <w:r>
        <w:rPr>
          <w:i/>
          <w:iCs/>
          <w:noProof/>
        </w:rPr>
        <w:t>Монгол улсад үндэсний инновацийн тогтолцоог хөгжүүлэх хөтөлбөр (2008-2015).</w:t>
      </w:r>
      <w:r>
        <w:rPr>
          <w:noProof/>
        </w:rPr>
        <w:t xml:space="preserve"> (2007). Улаанбаатар.</w:t>
      </w:r>
    </w:p>
    <w:p w14:paraId="111DD176" w14:textId="77777777" w:rsidR="00FE25FF" w:rsidRDefault="00FE25FF" w:rsidP="00FE25FF">
      <w:pPr>
        <w:pStyle w:val="Bibliography"/>
        <w:ind w:left="720" w:hanging="720"/>
        <w:rPr>
          <w:noProof/>
        </w:rPr>
      </w:pPr>
      <w:r>
        <w:rPr>
          <w:noProof/>
        </w:rPr>
        <w:t xml:space="preserve">Хандмаа Р. (2009). Хөгжилтэй орнуудын их дээд сургуулийн багшид тавигдах шаардлага. </w:t>
      </w:r>
      <w:r>
        <w:rPr>
          <w:i/>
          <w:iCs/>
          <w:noProof/>
        </w:rPr>
        <w:t>Хүний нөөцийн менежмент</w:t>
      </w:r>
      <w:r>
        <w:rPr>
          <w:noProof/>
        </w:rPr>
        <w:t>, №1 х-26.</w:t>
      </w:r>
    </w:p>
    <w:p w14:paraId="3FF9605A" w14:textId="77777777" w:rsidR="00FE25FF" w:rsidRDefault="00FE25FF" w:rsidP="00FE25FF">
      <w:pPr>
        <w:pStyle w:val="Bibliography"/>
        <w:ind w:left="720" w:hanging="720"/>
        <w:rPr>
          <w:noProof/>
        </w:rPr>
      </w:pPr>
      <w:r>
        <w:rPr>
          <w:noProof/>
        </w:rPr>
        <w:t xml:space="preserve">хүрээлэн, И. Х. (2015). </w:t>
      </w:r>
      <w:r>
        <w:rPr>
          <w:i/>
          <w:iCs/>
          <w:noProof/>
        </w:rPr>
        <w:t>Аж үйлдвэрийн салбарын хэрэгцээний үнэлгээ.</w:t>
      </w:r>
      <w:r>
        <w:rPr>
          <w:noProof/>
        </w:rPr>
        <w:t xml:space="preserve"> Улаанбаатар.</w:t>
      </w:r>
    </w:p>
    <w:p w14:paraId="5CF23748" w14:textId="77777777" w:rsidR="00FE25FF" w:rsidRDefault="00FE25FF" w:rsidP="00FE25FF">
      <w:pPr>
        <w:pStyle w:val="Bibliography"/>
        <w:ind w:left="720" w:hanging="720"/>
        <w:rPr>
          <w:noProof/>
        </w:rPr>
      </w:pPr>
      <w:r>
        <w:rPr>
          <w:noProof/>
        </w:rPr>
        <w:t xml:space="preserve">хүрээлэн, И. Х. (2015). </w:t>
      </w:r>
      <w:r>
        <w:rPr>
          <w:i/>
          <w:iCs/>
          <w:noProof/>
        </w:rPr>
        <w:t>Аж үйлдвэрийн салбарын хэрэгцээний үнэлгээ.</w:t>
      </w:r>
      <w:r>
        <w:rPr>
          <w:noProof/>
        </w:rPr>
        <w:t xml:space="preserve"> Улаанбаатар.</w:t>
      </w:r>
    </w:p>
    <w:p w14:paraId="533FB626" w14:textId="77777777" w:rsidR="00FE25FF" w:rsidRDefault="00FE25FF" w:rsidP="00FE25FF">
      <w:pPr>
        <w:pStyle w:val="Bibliography"/>
        <w:ind w:left="720" w:hanging="720"/>
        <w:rPr>
          <w:noProof/>
        </w:rPr>
      </w:pPr>
      <w:r>
        <w:rPr>
          <w:noProof/>
        </w:rPr>
        <w:t xml:space="preserve">Нарантуяа Н. (2012). </w:t>
      </w:r>
      <w:r>
        <w:rPr>
          <w:i/>
          <w:iCs/>
          <w:noProof/>
        </w:rPr>
        <w:t>Боловсролын удирдлага.</w:t>
      </w:r>
      <w:r>
        <w:rPr>
          <w:noProof/>
        </w:rPr>
        <w:t xml:space="preserve"> УБ.</w:t>
      </w:r>
    </w:p>
    <w:p w14:paraId="4E3BA659" w14:textId="77777777" w:rsidR="00FE25FF" w:rsidRDefault="00FE25FF" w:rsidP="00FE25FF">
      <w:pPr>
        <w:pStyle w:val="Bibliography"/>
        <w:ind w:left="720" w:hanging="720"/>
        <w:rPr>
          <w:noProof/>
        </w:rPr>
      </w:pPr>
      <w:r>
        <w:rPr>
          <w:noProof/>
        </w:rPr>
        <w:t xml:space="preserve">Арвинбаяр, Б. (2009). </w:t>
      </w:r>
      <w:r>
        <w:rPr>
          <w:i/>
          <w:iCs/>
          <w:noProof/>
        </w:rPr>
        <w:t>Шинжлэх ухааны технологийн сангийн зарцуулалт, үр дүнгийн мониторинг.</w:t>
      </w:r>
      <w:r>
        <w:rPr>
          <w:noProof/>
        </w:rPr>
        <w:t xml:space="preserve"> 2009: Нээлттэй Нийгэм Форум.</w:t>
      </w:r>
    </w:p>
    <w:p w14:paraId="6169764D" w14:textId="77777777" w:rsidR="00FE25FF" w:rsidRDefault="00FE25FF" w:rsidP="00FE25FF">
      <w:pPr>
        <w:pStyle w:val="Bibliography"/>
        <w:ind w:left="720" w:hanging="720"/>
        <w:rPr>
          <w:noProof/>
        </w:rPr>
      </w:pPr>
      <w:r>
        <w:rPr>
          <w:noProof/>
        </w:rPr>
        <w:t xml:space="preserve">Даваасүрэн, Б. (2015). </w:t>
      </w:r>
      <w:r>
        <w:rPr>
          <w:i/>
          <w:iCs/>
          <w:noProof/>
        </w:rPr>
        <w:t>Монгол улсын аж үйлдвэрийн салбаруудын технологийн түвшний үнэлгээ, технологийн бэлэн байдал.</w:t>
      </w:r>
      <w:r>
        <w:rPr>
          <w:noProof/>
        </w:rPr>
        <w:t xml:space="preserve"> Улаанбаатар: Технологийн хөгжлийн хүрээлэн ТББ.</w:t>
      </w:r>
    </w:p>
    <w:p w14:paraId="25EC5D3D" w14:textId="77777777" w:rsidR="00FE25FF" w:rsidRDefault="00FE25FF" w:rsidP="00FE25FF">
      <w:pPr>
        <w:pStyle w:val="Bibliography"/>
        <w:ind w:left="720" w:hanging="720"/>
        <w:rPr>
          <w:noProof/>
          <w:lang w:val="uz-Cyrl-UZ"/>
        </w:rPr>
      </w:pPr>
      <w:r>
        <w:rPr>
          <w:noProof/>
          <w:lang w:val="uz-Cyrl-UZ"/>
        </w:rPr>
        <w:t xml:space="preserve">Bils, M., &amp; Klenow, P. (2000). Does Schooling Cause Growth? </w:t>
      </w:r>
      <w:r>
        <w:rPr>
          <w:i/>
          <w:iCs/>
          <w:noProof/>
          <w:lang w:val="uz-Cyrl-UZ"/>
        </w:rPr>
        <w:t>American Economic Review, 90</w:t>
      </w:r>
      <w:r>
        <w:rPr>
          <w:noProof/>
          <w:lang w:val="uz-Cyrl-UZ"/>
        </w:rPr>
        <w:t>(5), 1160-1183.</w:t>
      </w:r>
    </w:p>
    <w:p w14:paraId="77C1AAE6" w14:textId="77777777" w:rsidR="00FE25FF" w:rsidRDefault="00FE25FF" w:rsidP="00FE25FF">
      <w:pPr>
        <w:pStyle w:val="Bibliography"/>
        <w:ind w:left="720" w:hanging="720"/>
        <w:rPr>
          <w:noProof/>
        </w:rPr>
      </w:pPr>
      <w:r>
        <w:rPr>
          <w:noProof/>
        </w:rPr>
        <w:lastRenderedPageBreak/>
        <w:t xml:space="preserve">Bray, Mark, Surengiin Davaa, Seth Spaulding, and John C. Weidman. . (1994). Transition from Socialism and the Financing of Higher Education: The case of Mongolia. </w:t>
      </w:r>
      <w:r>
        <w:rPr>
          <w:i/>
          <w:iCs/>
          <w:noProof/>
        </w:rPr>
        <w:t>Higher Education Policy</w:t>
      </w:r>
      <w:r>
        <w:rPr>
          <w:noProof/>
        </w:rPr>
        <w:t>, 36-42.</w:t>
      </w:r>
    </w:p>
    <w:p w14:paraId="5BC62D2B" w14:textId="77777777" w:rsidR="00FE25FF" w:rsidRDefault="00FE25FF" w:rsidP="00FE25FF">
      <w:pPr>
        <w:pStyle w:val="Bibliography"/>
        <w:ind w:left="720" w:hanging="720"/>
        <w:rPr>
          <w:noProof/>
        </w:rPr>
      </w:pPr>
      <w:r>
        <w:rPr>
          <w:noProof/>
        </w:rPr>
        <w:t>Carnegie . (2006, 12 04). Retrieved from http:/www.carnegie foundation.org/classification of higher education.</w:t>
      </w:r>
    </w:p>
    <w:p w14:paraId="5CBFAEF3" w14:textId="77777777" w:rsidR="00FE25FF" w:rsidRDefault="00FE25FF" w:rsidP="00FE25FF">
      <w:pPr>
        <w:pStyle w:val="Bibliography"/>
        <w:ind w:left="720" w:hanging="720"/>
        <w:rPr>
          <w:noProof/>
        </w:rPr>
      </w:pPr>
      <w:r>
        <w:rPr>
          <w:noProof/>
        </w:rPr>
        <w:t xml:space="preserve">Claudio, M., &amp; Patrinos, H. (2014). </w:t>
      </w:r>
      <w:r>
        <w:rPr>
          <w:i/>
          <w:iCs/>
          <w:noProof/>
        </w:rPr>
        <w:t>Comparable Estimates of Returns to Schooling Around the World.</w:t>
      </w:r>
      <w:r>
        <w:rPr>
          <w:noProof/>
        </w:rPr>
        <w:t xml:space="preserve"> World bank group.</w:t>
      </w:r>
    </w:p>
    <w:p w14:paraId="40A7826F" w14:textId="77777777" w:rsidR="00FE25FF" w:rsidRDefault="00FE25FF" w:rsidP="00FE25FF">
      <w:pPr>
        <w:pStyle w:val="Bibliography"/>
        <w:ind w:left="720" w:hanging="720"/>
        <w:rPr>
          <w:noProof/>
        </w:rPr>
      </w:pPr>
      <w:r>
        <w:rPr>
          <w:noProof/>
        </w:rPr>
        <w:t xml:space="preserve">Coloradо. (2013). </w:t>
      </w:r>
      <w:r>
        <w:rPr>
          <w:i/>
          <w:iCs/>
          <w:noProof/>
        </w:rPr>
        <w:t>http://facultyaffairs.colorada.edufaculty-titles</w:t>
      </w:r>
      <w:r>
        <w:rPr>
          <w:noProof/>
        </w:rPr>
        <w:t>.</w:t>
      </w:r>
    </w:p>
    <w:p w14:paraId="7543B436" w14:textId="77777777" w:rsidR="00FE25FF" w:rsidRDefault="00FE25FF" w:rsidP="00FE25FF">
      <w:pPr>
        <w:pStyle w:val="Bibliography"/>
        <w:ind w:left="720" w:hanging="720"/>
        <w:rPr>
          <w:noProof/>
          <w:lang w:val="uz-Cyrl-UZ"/>
        </w:rPr>
      </w:pPr>
      <w:r>
        <w:rPr>
          <w:noProof/>
          <w:lang w:val="uz-Cyrl-UZ"/>
        </w:rPr>
        <w:t xml:space="preserve">Crivellaro, E. (2012). Returns to college over time: trends in Europe in the last 15 years. Stuck on the puzzle. </w:t>
      </w:r>
      <w:r>
        <w:rPr>
          <w:i/>
          <w:iCs/>
          <w:noProof/>
          <w:lang w:val="uz-Cyrl-UZ"/>
        </w:rPr>
        <w:t>Working Paper No. 146. University of Padova</w:t>
      </w:r>
      <w:r>
        <w:rPr>
          <w:noProof/>
          <w:lang w:val="uz-Cyrl-UZ"/>
        </w:rPr>
        <w:t>.</w:t>
      </w:r>
    </w:p>
    <w:p w14:paraId="41657E4B" w14:textId="77777777" w:rsidR="00FE25FF" w:rsidRDefault="00FE25FF" w:rsidP="00FE25FF">
      <w:pPr>
        <w:pStyle w:val="Bibliography"/>
        <w:ind w:left="720" w:hanging="720"/>
        <w:rPr>
          <w:noProof/>
        </w:rPr>
      </w:pPr>
      <w:r>
        <w:rPr>
          <w:noProof/>
        </w:rPr>
        <w:t xml:space="preserve">Dahl, G. (2002). Mobility and the return to education: Testing a Roy model with multiple markets. </w:t>
      </w:r>
      <w:r>
        <w:rPr>
          <w:i/>
          <w:iCs/>
          <w:noProof/>
        </w:rPr>
        <w:t>Econometrica</w:t>
      </w:r>
      <w:r>
        <w:rPr>
          <w:noProof/>
        </w:rPr>
        <w:t>, 70 (6), 2367–2420.</w:t>
      </w:r>
    </w:p>
    <w:p w14:paraId="6DAAD4B1" w14:textId="77777777" w:rsidR="00FE25FF" w:rsidRDefault="00FE25FF" w:rsidP="00FE25FF">
      <w:pPr>
        <w:pStyle w:val="Bibliography"/>
        <w:ind w:left="720" w:hanging="720"/>
        <w:rPr>
          <w:noProof/>
        </w:rPr>
      </w:pPr>
      <w:r>
        <w:rPr>
          <w:noProof/>
        </w:rPr>
        <w:t xml:space="preserve">Emiliana Vegas, Ilana Umansky. (2005). </w:t>
      </w:r>
      <w:r>
        <w:rPr>
          <w:i/>
          <w:iCs/>
          <w:noProof/>
        </w:rPr>
        <w:t>Incenrives to improve teaching:Lessons from Latin America.</w:t>
      </w:r>
      <w:r>
        <w:rPr>
          <w:noProof/>
        </w:rPr>
        <w:t xml:space="preserve"> New York.</w:t>
      </w:r>
    </w:p>
    <w:p w14:paraId="4DAE7526" w14:textId="77777777" w:rsidR="00FE25FF" w:rsidRDefault="00FE25FF" w:rsidP="00FE25FF">
      <w:pPr>
        <w:pStyle w:val="Bibliography"/>
        <w:ind w:left="720" w:hanging="720"/>
        <w:rPr>
          <w:noProof/>
        </w:rPr>
      </w:pPr>
      <w:r>
        <w:rPr>
          <w:noProof/>
        </w:rPr>
        <w:t xml:space="preserve">Jung-Hwan Park, Chang-Bae Moon. (2011). Design and development of a Teaching Assesstment system for improving Teaching skill in u-Cumpus. . </w:t>
      </w:r>
      <w:r>
        <w:rPr>
          <w:i/>
          <w:iCs/>
          <w:noProof/>
        </w:rPr>
        <w:t>Journal of the Korea Academia-industral cooperation society</w:t>
      </w:r>
      <w:r>
        <w:rPr>
          <w:noProof/>
        </w:rPr>
        <w:t>, Vol 12. No 5 pp.2124-2132.</w:t>
      </w:r>
    </w:p>
    <w:p w14:paraId="38D10D65" w14:textId="77777777" w:rsidR="00FE25FF" w:rsidRDefault="00FE25FF" w:rsidP="00FE25FF">
      <w:pPr>
        <w:pStyle w:val="Bibliography"/>
        <w:ind w:left="720" w:hanging="720"/>
        <w:rPr>
          <w:noProof/>
        </w:rPr>
      </w:pPr>
      <w:r>
        <w:rPr>
          <w:noProof/>
        </w:rPr>
        <w:t xml:space="preserve">Krueger, D. P. (2010). Cross-sectional facts for macroeconomists. </w:t>
      </w:r>
      <w:r>
        <w:rPr>
          <w:i/>
          <w:iCs/>
          <w:noProof/>
        </w:rPr>
        <w:t>Review of Economic Dynamics</w:t>
      </w:r>
      <w:r>
        <w:rPr>
          <w:noProof/>
        </w:rPr>
        <w:t>, 13 (1), 1–14.</w:t>
      </w:r>
    </w:p>
    <w:p w14:paraId="46FBA652" w14:textId="77777777" w:rsidR="00FE25FF" w:rsidRDefault="00FE25FF" w:rsidP="00FE25FF">
      <w:pPr>
        <w:pStyle w:val="Bibliography"/>
        <w:ind w:left="720" w:hanging="720"/>
        <w:rPr>
          <w:noProof/>
        </w:rPr>
      </w:pPr>
      <w:r>
        <w:rPr>
          <w:noProof/>
        </w:rPr>
        <w:t xml:space="preserve">Lkhagvasuren, D. (2014). Education, Mobility and the College Wage Premium. </w:t>
      </w:r>
      <w:r>
        <w:rPr>
          <w:i/>
          <w:iCs/>
          <w:noProof/>
        </w:rPr>
        <w:t>European Economic Review</w:t>
      </w:r>
      <w:r>
        <w:rPr>
          <w:noProof/>
        </w:rPr>
        <w:t>, Vol 67: 159-173.</w:t>
      </w:r>
    </w:p>
    <w:p w14:paraId="3F286E55" w14:textId="77777777" w:rsidR="00FE25FF" w:rsidRDefault="00FE25FF" w:rsidP="00FE25FF">
      <w:pPr>
        <w:pStyle w:val="Bibliography"/>
        <w:ind w:left="720" w:hanging="720"/>
        <w:rPr>
          <w:noProof/>
        </w:rPr>
      </w:pPr>
      <w:r>
        <w:rPr>
          <w:noProof/>
        </w:rPr>
        <w:t xml:space="preserve">Machin, S. P. (2012). Education and mobility. </w:t>
      </w:r>
      <w:r>
        <w:rPr>
          <w:i/>
          <w:iCs/>
          <w:noProof/>
        </w:rPr>
        <w:t>Journal of the European Economic Association</w:t>
      </w:r>
      <w:r>
        <w:rPr>
          <w:noProof/>
        </w:rPr>
        <w:t>, 10 (2), 1–15.</w:t>
      </w:r>
    </w:p>
    <w:p w14:paraId="0D1D84DB" w14:textId="77777777" w:rsidR="00FE25FF" w:rsidRDefault="00FE25FF" w:rsidP="00FE25FF">
      <w:pPr>
        <w:pStyle w:val="Bibliography"/>
        <w:ind w:left="720" w:hanging="720"/>
        <w:rPr>
          <w:noProof/>
        </w:rPr>
      </w:pPr>
      <w:r>
        <w:rPr>
          <w:noProof/>
        </w:rPr>
        <w:t xml:space="preserve">Malamud, O. W. (2012). The impact of college education on geographic mobility. </w:t>
      </w:r>
      <w:r>
        <w:rPr>
          <w:i/>
          <w:iCs/>
          <w:noProof/>
        </w:rPr>
        <w:t>Journal of Human Resources</w:t>
      </w:r>
      <w:r>
        <w:rPr>
          <w:noProof/>
        </w:rPr>
        <w:t>, 47 (4), 913–950.</w:t>
      </w:r>
    </w:p>
    <w:p w14:paraId="407E6E18" w14:textId="77777777" w:rsidR="00FE25FF" w:rsidRDefault="00FE25FF" w:rsidP="00FE25FF">
      <w:pPr>
        <w:pStyle w:val="Bibliography"/>
        <w:ind w:left="720" w:hanging="720"/>
        <w:rPr>
          <w:noProof/>
        </w:rPr>
      </w:pPr>
      <w:r>
        <w:rPr>
          <w:noProof/>
        </w:rPr>
        <w:t xml:space="preserve">Mincer, J. (1958). Investment in Human Capital and Personal Income Distribution. </w:t>
      </w:r>
      <w:r>
        <w:rPr>
          <w:i/>
          <w:iCs/>
          <w:noProof/>
        </w:rPr>
        <w:t>Journal of Political Economy</w:t>
      </w:r>
      <w:r>
        <w:rPr>
          <w:noProof/>
        </w:rPr>
        <w:t>, 66 (4): 281-302.</w:t>
      </w:r>
    </w:p>
    <w:p w14:paraId="33B75ADB" w14:textId="4D5272D3" w:rsidR="00CC699E" w:rsidRDefault="00FE25FF" w:rsidP="00FE25FF">
      <w:r w:rsidRPr="00E30F42">
        <w:rPr>
          <w:rFonts w:ascii="Times New Roman" w:hAnsi="Times New Roman" w:cs="Times New Roman"/>
          <w:sz w:val="24"/>
          <w:szCs w:val="24"/>
          <w:lang w:val="mn-MN"/>
        </w:rPr>
        <w:lastRenderedPageBreak/>
        <w:fldChar w:fldCharType="end"/>
      </w:r>
    </w:p>
    <w:sectPr w:rsidR="00CC6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43DB1" w14:textId="77777777" w:rsidR="005368C4" w:rsidRDefault="005368C4" w:rsidP="00FE25FF">
      <w:pPr>
        <w:spacing w:after="0" w:line="240" w:lineRule="auto"/>
      </w:pPr>
      <w:r>
        <w:separator/>
      </w:r>
    </w:p>
  </w:endnote>
  <w:endnote w:type="continuationSeparator" w:id="0">
    <w:p w14:paraId="03422429" w14:textId="77777777" w:rsidR="005368C4" w:rsidRDefault="005368C4" w:rsidP="00FE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eeSerif">
    <w:altName w:val="MS Mincho"/>
    <w:panose1 w:val="020B0604020202020204"/>
    <w:charset w:val="80"/>
    <w:family w:val="auto"/>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7F2B6" w14:textId="77777777" w:rsidR="005368C4" w:rsidRDefault="005368C4" w:rsidP="00FE25FF">
      <w:pPr>
        <w:spacing w:after="0" w:line="240" w:lineRule="auto"/>
      </w:pPr>
      <w:r>
        <w:separator/>
      </w:r>
    </w:p>
  </w:footnote>
  <w:footnote w:type="continuationSeparator" w:id="0">
    <w:p w14:paraId="32C4FA5A" w14:textId="77777777" w:rsidR="005368C4" w:rsidRDefault="005368C4" w:rsidP="00FE25FF">
      <w:pPr>
        <w:spacing w:after="0" w:line="240" w:lineRule="auto"/>
      </w:pPr>
      <w:r>
        <w:continuationSeparator/>
      </w:r>
    </w:p>
  </w:footnote>
  <w:footnote w:id="1">
    <w:p w14:paraId="165B9394" w14:textId="77777777" w:rsidR="00FE25FF" w:rsidRPr="009E3B15" w:rsidRDefault="00FE25FF" w:rsidP="00FE25FF">
      <w:pPr>
        <w:pStyle w:val="FootnoteText"/>
        <w:rPr>
          <w:sz w:val="22"/>
          <w:lang w:val="mn-MN"/>
        </w:rPr>
      </w:pPr>
      <w:r w:rsidRPr="009E3B15">
        <w:rPr>
          <w:rStyle w:val="FootnoteReference"/>
          <w:sz w:val="18"/>
        </w:rPr>
        <w:footnoteRef/>
      </w:r>
      <w:r w:rsidRPr="009E3B15">
        <w:rPr>
          <w:sz w:val="18"/>
        </w:rPr>
        <w:t xml:space="preserve"> Tenure track </w:t>
      </w:r>
      <w:r w:rsidRPr="009E3B15">
        <w:rPr>
          <w:sz w:val="18"/>
          <w:lang w:val="mn-MN"/>
        </w:rPr>
        <w:t xml:space="preserve">гэдэг нь 1900 аад оны үеэс АНУ-д анх их сургуулийн профессор багшийн албан тушаалын баталгааг бий болгох зорилгоор АНУ-ын профессоруудын холбооноос их сургуулийн хөрөнгө оруулагчдын  хатуу хяналтаас багш нарын ажлын байрыг  хамгаалахын тулд гаргаж ирсэн тогтолцоо. </w:t>
      </w:r>
      <w:r w:rsidRPr="009E3B15">
        <w:rPr>
          <w:sz w:val="18"/>
          <w:szCs w:val="16"/>
          <w:lang w:val="mn-MN"/>
        </w:rPr>
        <w:t>Энэ нь цаашдаа улам боловсронгуй болж өнөөдөр Өрнөдийн болон Азийн ихэнх орнуудад хэрэглэж байгаа систем.</w:t>
      </w:r>
      <w:r w:rsidRPr="009E3B15">
        <w:rPr>
          <w:sz w:val="22"/>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54D"/>
    <w:multiLevelType w:val="hybridMultilevel"/>
    <w:tmpl w:val="19788468"/>
    <w:lvl w:ilvl="0" w:tplc="0DE45854">
      <w:start w:val="1"/>
      <w:numFmt w:val="decimal"/>
      <w:lvlText w:val="%1."/>
      <w:lvlJc w:val="left"/>
      <w:pPr>
        <w:ind w:left="720" w:hanging="360"/>
      </w:pPr>
      <w:rPr>
        <w:rFont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926CC"/>
    <w:multiLevelType w:val="hybridMultilevel"/>
    <w:tmpl w:val="DDE2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6AA2"/>
    <w:multiLevelType w:val="hybridMultilevel"/>
    <w:tmpl w:val="414C6E58"/>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0FF85819"/>
    <w:multiLevelType w:val="hybridMultilevel"/>
    <w:tmpl w:val="BCEE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B79E5"/>
    <w:multiLevelType w:val="hybridMultilevel"/>
    <w:tmpl w:val="4D8A3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A4EFA"/>
    <w:multiLevelType w:val="hybridMultilevel"/>
    <w:tmpl w:val="501C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072F2"/>
    <w:multiLevelType w:val="hybridMultilevel"/>
    <w:tmpl w:val="9D729CF2"/>
    <w:lvl w:ilvl="0" w:tplc="BC78D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904CC7"/>
    <w:multiLevelType w:val="hybridMultilevel"/>
    <w:tmpl w:val="59A8DEAE"/>
    <w:lvl w:ilvl="0" w:tplc="79B80F86">
      <w:start w:val="1"/>
      <w:numFmt w:val="bullet"/>
      <w:lvlText w:val=""/>
      <w:lvlJc w:val="left"/>
      <w:pPr>
        <w:tabs>
          <w:tab w:val="num" w:pos="720"/>
        </w:tabs>
        <w:ind w:left="720" w:hanging="360"/>
      </w:pPr>
      <w:rPr>
        <w:rFonts w:ascii="Wingdings" w:hAnsi="Wingdings" w:hint="default"/>
      </w:rPr>
    </w:lvl>
    <w:lvl w:ilvl="1" w:tplc="FAC29900" w:tentative="1">
      <w:start w:val="1"/>
      <w:numFmt w:val="bullet"/>
      <w:lvlText w:val=""/>
      <w:lvlJc w:val="left"/>
      <w:pPr>
        <w:tabs>
          <w:tab w:val="num" w:pos="1440"/>
        </w:tabs>
        <w:ind w:left="1440" w:hanging="360"/>
      </w:pPr>
      <w:rPr>
        <w:rFonts w:ascii="Wingdings" w:hAnsi="Wingdings" w:hint="default"/>
      </w:rPr>
    </w:lvl>
    <w:lvl w:ilvl="2" w:tplc="2B08269C" w:tentative="1">
      <w:start w:val="1"/>
      <w:numFmt w:val="bullet"/>
      <w:lvlText w:val=""/>
      <w:lvlJc w:val="left"/>
      <w:pPr>
        <w:tabs>
          <w:tab w:val="num" w:pos="2160"/>
        </w:tabs>
        <w:ind w:left="2160" w:hanging="360"/>
      </w:pPr>
      <w:rPr>
        <w:rFonts w:ascii="Wingdings" w:hAnsi="Wingdings" w:hint="default"/>
      </w:rPr>
    </w:lvl>
    <w:lvl w:ilvl="3" w:tplc="ABF45222" w:tentative="1">
      <w:start w:val="1"/>
      <w:numFmt w:val="bullet"/>
      <w:lvlText w:val=""/>
      <w:lvlJc w:val="left"/>
      <w:pPr>
        <w:tabs>
          <w:tab w:val="num" w:pos="2880"/>
        </w:tabs>
        <w:ind w:left="2880" w:hanging="360"/>
      </w:pPr>
      <w:rPr>
        <w:rFonts w:ascii="Wingdings" w:hAnsi="Wingdings" w:hint="default"/>
      </w:rPr>
    </w:lvl>
    <w:lvl w:ilvl="4" w:tplc="5C0EE228" w:tentative="1">
      <w:start w:val="1"/>
      <w:numFmt w:val="bullet"/>
      <w:lvlText w:val=""/>
      <w:lvlJc w:val="left"/>
      <w:pPr>
        <w:tabs>
          <w:tab w:val="num" w:pos="3600"/>
        </w:tabs>
        <w:ind w:left="3600" w:hanging="360"/>
      </w:pPr>
      <w:rPr>
        <w:rFonts w:ascii="Wingdings" w:hAnsi="Wingdings" w:hint="default"/>
      </w:rPr>
    </w:lvl>
    <w:lvl w:ilvl="5" w:tplc="D0F259EE" w:tentative="1">
      <w:start w:val="1"/>
      <w:numFmt w:val="bullet"/>
      <w:lvlText w:val=""/>
      <w:lvlJc w:val="left"/>
      <w:pPr>
        <w:tabs>
          <w:tab w:val="num" w:pos="4320"/>
        </w:tabs>
        <w:ind w:left="4320" w:hanging="360"/>
      </w:pPr>
      <w:rPr>
        <w:rFonts w:ascii="Wingdings" w:hAnsi="Wingdings" w:hint="default"/>
      </w:rPr>
    </w:lvl>
    <w:lvl w:ilvl="6" w:tplc="7F7AEDAC" w:tentative="1">
      <w:start w:val="1"/>
      <w:numFmt w:val="bullet"/>
      <w:lvlText w:val=""/>
      <w:lvlJc w:val="left"/>
      <w:pPr>
        <w:tabs>
          <w:tab w:val="num" w:pos="5040"/>
        </w:tabs>
        <w:ind w:left="5040" w:hanging="360"/>
      </w:pPr>
      <w:rPr>
        <w:rFonts w:ascii="Wingdings" w:hAnsi="Wingdings" w:hint="default"/>
      </w:rPr>
    </w:lvl>
    <w:lvl w:ilvl="7" w:tplc="6C569DFE" w:tentative="1">
      <w:start w:val="1"/>
      <w:numFmt w:val="bullet"/>
      <w:lvlText w:val=""/>
      <w:lvlJc w:val="left"/>
      <w:pPr>
        <w:tabs>
          <w:tab w:val="num" w:pos="5760"/>
        </w:tabs>
        <w:ind w:left="5760" w:hanging="360"/>
      </w:pPr>
      <w:rPr>
        <w:rFonts w:ascii="Wingdings" w:hAnsi="Wingdings" w:hint="default"/>
      </w:rPr>
    </w:lvl>
    <w:lvl w:ilvl="8" w:tplc="A7B68E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98511E"/>
    <w:multiLevelType w:val="multilevel"/>
    <w:tmpl w:val="903E1E7C"/>
    <w:lvl w:ilvl="0">
      <w:start w:val="1"/>
      <w:numFmt w:val="decimal"/>
      <w:lvlText w:val="%1."/>
      <w:lvlJc w:val="left"/>
      <w:pPr>
        <w:ind w:left="1440" w:hanging="360"/>
      </w:pPr>
      <w:rPr>
        <w:rFonts w:ascii="Arial" w:eastAsiaTheme="minorHAnsi" w:hAnsi="Arial" w:cs="Arial"/>
      </w:rPr>
    </w:lvl>
    <w:lvl w:ilvl="1">
      <w:start w:val="3"/>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7F6C1AC1"/>
    <w:multiLevelType w:val="hybridMultilevel"/>
    <w:tmpl w:val="3E046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097925">
    <w:abstractNumId w:val="4"/>
  </w:num>
  <w:num w:numId="2" w16cid:durableId="492527707">
    <w:abstractNumId w:val="2"/>
  </w:num>
  <w:num w:numId="3" w16cid:durableId="792944038">
    <w:abstractNumId w:val="8"/>
  </w:num>
  <w:num w:numId="4" w16cid:durableId="1915627975">
    <w:abstractNumId w:val="3"/>
  </w:num>
  <w:num w:numId="5" w16cid:durableId="762381833">
    <w:abstractNumId w:val="7"/>
  </w:num>
  <w:num w:numId="6" w16cid:durableId="1397432308">
    <w:abstractNumId w:val="9"/>
  </w:num>
  <w:num w:numId="7" w16cid:durableId="1231428861">
    <w:abstractNumId w:val="0"/>
  </w:num>
  <w:num w:numId="8" w16cid:durableId="1098481405">
    <w:abstractNumId w:val="1"/>
  </w:num>
  <w:num w:numId="9" w16cid:durableId="1252198402">
    <w:abstractNumId w:val="5"/>
  </w:num>
  <w:num w:numId="10" w16cid:durableId="125048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FF"/>
    <w:rsid w:val="001B7692"/>
    <w:rsid w:val="00310704"/>
    <w:rsid w:val="003F3FD0"/>
    <w:rsid w:val="005368C4"/>
    <w:rsid w:val="005F3025"/>
    <w:rsid w:val="009D573D"/>
    <w:rsid w:val="00C45C06"/>
    <w:rsid w:val="00CC699E"/>
    <w:rsid w:val="00E80D7A"/>
    <w:rsid w:val="00EF0EB8"/>
    <w:rsid w:val="00FE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4AC7"/>
  <w15:chartTrackingRefBased/>
  <w15:docId w15:val="{E5D21DC3-E2D1-C94C-B68B-B6F927E8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FF"/>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FE2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5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25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25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25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25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25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25FF"/>
    <w:pPr>
      <w:spacing w:before="160"/>
      <w:jc w:val="center"/>
    </w:pPr>
    <w:rPr>
      <w:i/>
      <w:iCs/>
      <w:color w:val="404040" w:themeColor="text1" w:themeTint="BF"/>
    </w:rPr>
  </w:style>
  <w:style w:type="character" w:customStyle="1" w:styleId="QuoteChar">
    <w:name w:val="Quote Char"/>
    <w:basedOn w:val="DefaultParagraphFont"/>
    <w:link w:val="Quote"/>
    <w:uiPriority w:val="29"/>
    <w:rsid w:val="00FE25FF"/>
    <w:rPr>
      <w:i/>
      <w:iCs/>
      <w:color w:val="404040" w:themeColor="text1" w:themeTint="BF"/>
    </w:rPr>
  </w:style>
  <w:style w:type="paragraph" w:styleId="ListParagraph">
    <w:name w:val="List Paragraph"/>
    <w:basedOn w:val="Normal"/>
    <w:link w:val="ListParagraphChar"/>
    <w:uiPriority w:val="34"/>
    <w:qFormat/>
    <w:rsid w:val="00FE25FF"/>
    <w:pPr>
      <w:ind w:left="720"/>
      <w:contextualSpacing/>
    </w:pPr>
  </w:style>
  <w:style w:type="character" w:styleId="IntenseEmphasis">
    <w:name w:val="Intense Emphasis"/>
    <w:basedOn w:val="DefaultParagraphFont"/>
    <w:uiPriority w:val="21"/>
    <w:qFormat/>
    <w:rsid w:val="00FE25FF"/>
    <w:rPr>
      <w:i/>
      <w:iCs/>
      <w:color w:val="0F4761" w:themeColor="accent1" w:themeShade="BF"/>
    </w:rPr>
  </w:style>
  <w:style w:type="paragraph" w:styleId="IntenseQuote">
    <w:name w:val="Intense Quote"/>
    <w:basedOn w:val="Normal"/>
    <w:next w:val="Normal"/>
    <w:link w:val="IntenseQuoteChar"/>
    <w:uiPriority w:val="30"/>
    <w:qFormat/>
    <w:rsid w:val="00FE2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5FF"/>
    <w:rPr>
      <w:i/>
      <w:iCs/>
      <w:color w:val="0F4761" w:themeColor="accent1" w:themeShade="BF"/>
    </w:rPr>
  </w:style>
  <w:style w:type="character" w:styleId="IntenseReference">
    <w:name w:val="Intense Reference"/>
    <w:basedOn w:val="DefaultParagraphFont"/>
    <w:uiPriority w:val="32"/>
    <w:qFormat/>
    <w:rsid w:val="00FE25FF"/>
    <w:rPr>
      <w:b/>
      <w:bCs/>
      <w:smallCaps/>
      <w:color w:val="0F4761" w:themeColor="accent1" w:themeShade="BF"/>
      <w:spacing w:val="5"/>
    </w:rPr>
  </w:style>
  <w:style w:type="paragraph" w:styleId="FootnoteText">
    <w:name w:val="footnote text"/>
    <w:basedOn w:val="Normal"/>
    <w:link w:val="FootnoteTextChar"/>
    <w:uiPriority w:val="99"/>
    <w:unhideWhenUsed/>
    <w:rsid w:val="00FE25FF"/>
    <w:pPr>
      <w:spacing w:after="0" w:line="240" w:lineRule="auto"/>
    </w:pPr>
    <w:rPr>
      <w:sz w:val="20"/>
      <w:szCs w:val="20"/>
    </w:rPr>
  </w:style>
  <w:style w:type="character" w:customStyle="1" w:styleId="FootnoteTextChar">
    <w:name w:val="Footnote Text Char"/>
    <w:basedOn w:val="DefaultParagraphFont"/>
    <w:link w:val="FootnoteText"/>
    <w:uiPriority w:val="99"/>
    <w:rsid w:val="00FE25FF"/>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FE25FF"/>
    <w:rPr>
      <w:vertAlign w:val="superscript"/>
    </w:rPr>
  </w:style>
  <w:style w:type="character" w:customStyle="1" w:styleId="ListParagraphChar">
    <w:name w:val="List Paragraph Char"/>
    <w:link w:val="ListParagraph"/>
    <w:uiPriority w:val="34"/>
    <w:locked/>
    <w:rsid w:val="00FE25FF"/>
  </w:style>
  <w:style w:type="table" w:styleId="TableGrid">
    <w:name w:val="Table Grid"/>
    <w:basedOn w:val="TableNormal"/>
    <w:uiPriority w:val="59"/>
    <w:rsid w:val="00FE25FF"/>
    <w:pPr>
      <w:spacing w:after="0" w:line="240" w:lineRule="auto"/>
    </w:pPr>
    <w:rPr>
      <w:rFonts w:asciiTheme="minorHAnsi" w:eastAsiaTheme="minorEastAsia"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FE25FF"/>
    <w:pPr>
      <w:spacing w:before="120" w:after="120" w:line="360" w:lineRule="auto"/>
      <w:jc w:val="both"/>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5F108A-42C0-4BDE-A8B0-7784A08C5AE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64B1A3A9-FF5B-4097-995F-A10E49724FF0}">
      <dgm:prSet phldrT="[Text]" custT="1"/>
      <dgm:spPr/>
      <dgm:t>
        <a:bodyPr/>
        <a:lstStyle/>
        <a:p>
          <a:r>
            <a:rPr lang="mn-MN" sz="900" b="1">
              <a:latin typeface="+mn-lt"/>
              <a:cs typeface="Times New Roman" pitchFamily="18" charset="0"/>
            </a:rPr>
            <a:t>ҮР ДҮНТЭЙ БАГШ</a:t>
          </a:r>
          <a:endParaRPr lang="en-US" sz="900" b="1">
            <a:latin typeface="+mn-lt"/>
            <a:cs typeface="Times New Roman" pitchFamily="18" charset="0"/>
          </a:endParaRPr>
        </a:p>
      </dgm:t>
    </dgm:pt>
    <dgm:pt modelId="{52B8ED3A-165A-40A8-909E-871318A2DACE}" type="parTrans" cxnId="{337E6058-3AD0-48F1-BEC0-5D46B2275F45}">
      <dgm:prSet/>
      <dgm:spPr/>
      <dgm:t>
        <a:bodyPr/>
        <a:lstStyle/>
        <a:p>
          <a:endParaRPr lang="en-US" sz="1600">
            <a:latin typeface="+mn-lt"/>
          </a:endParaRPr>
        </a:p>
      </dgm:t>
    </dgm:pt>
    <dgm:pt modelId="{1E801060-7102-48C0-9DC1-9B80B5E01D5B}" type="sibTrans" cxnId="{337E6058-3AD0-48F1-BEC0-5D46B2275F45}">
      <dgm:prSet/>
      <dgm:spPr/>
      <dgm:t>
        <a:bodyPr/>
        <a:lstStyle/>
        <a:p>
          <a:endParaRPr lang="en-US" sz="1600">
            <a:latin typeface="+mn-lt"/>
          </a:endParaRPr>
        </a:p>
      </dgm:t>
    </dgm:pt>
    <dgm:pt modelId="{BAFB0168-3D53-4509-8B8F-825C9691CC2B}">
      <dgm:prSet phldrT="[Text]" custT="1"/>
      <dgm:spPr>
        <a:solidFill>
          <a:schemeClr val="accent5">
            <a:lumMod val="75000"/>
          </a:schemeClr>
        </a:solidFill>
      </dgm:spPr>
      <dgm:t>
        <a:bodyPr/>
        <a:lstStyle/>
        <a:p>
          <a:r>
            <a:rPr lang="mn-MN" sz="900" b="1">
              <a:latin typeface="+mn-lt"/>
              <a:cs typeface="Arial" panose="020B0604020202020204" pitchFamily="34" charset="0"/>
            </a:rPr>
            <a:t>нийгэм дэх багшийн нэр хүнд, өөрийн сонирхол </a:t>
          </a:r>
          <a:endParaRPr lang="en-US" sz="900" b="1">
            <a:latin typeface="+mn-lt"/>
            <a:cs typeface="Arial" panose="020B0604020202020204" pitchFamily="34" charset="0"/>
          </a:endParaRPr>
        </a:p>
      </dgm:t>
    </dgm:pt>
    <dgm:pt modelId="{DA4968B4-F2FD-47CF-9D0F-4EF850A7EB11}" type="parTrans" cxnId="{499C9B8C-D673-402E-B9BC-E33242FFB8F2}">
      <dgm:prSet custT="1"/>
      <dgm:spPr/>
      <dgm:t>
        <a:bodyPr/>
        <a:lstStyle/>
        <a:p>
          <a:endParaRPr lang="en-US" sz="400">
            <a:latin typeface="+mn-lt"/>
          </a:endParaRPr>
        </a:p>
      </dgm:t>
    </dgm:pt>
    <dgm:pt modelId="{5E11CEB7-1008-42B0-9474-D1DD43ABB020}" type="sibTrans" cxnId="{499C9B8C-D673-402E-B9BC-E33242FFB8F2}">
      <dgm:prSet/>
      <dgm:spPr/>
      <dgm:t>
        <a:bodyPr/>
        <a:lstStyle/>
        <a:p>
          <a:endParaRPr lang="en-US" sz="1600">
            <a:latin typeface="+mn-lt"/>
          </a:endParaRPr>
        </a:p>
      </dgm:t>
    </dgm:pt>
    <dgm:pt modelId="{C9147584-4FC0-4775-9A1E-354A03C4C66F}">
      <dgm:prSet phldrT="[Text]" custT="1"/>
      <dgm:spPr>
        <a:solidFill>
          <a:schemeClr val="accent2">
            <a:lumMod val="75000"/>
          </a:schemeClr>
        </a:solidFill>
      </dgm:spPr>
      <dgm:t>
        <a:bodyPr/>
        <a:lstStyle/>
        <a:p>
          <a:r>
            <a:rPr lang="mn-MN" sz="900" b="1">
              <a:latin typeface="+mn-lt"/>
              <a:cs typeface="Arial" panose="020B0604020202020204" pitchFamily="34" charset="0"/>
            </a:rPr>
            <a:t>цалингийн ялгаа, хэлбэр</a:t>
          </a:r>
          <a:endParaRPr lang="en-US" sz="900" b="1">
            <a:latin typeface="+mn-lt"/>
            <a:cs typeface="Arial" panose="020B0604020202020204" pitchFamily="34" charset="0"/>
          </a:endParaRPr>
        </a:p>
      </dgm:t>
    </dgm:pt>
    <dgm:pt modelId="{719DA397-469D-46B2-80F2-609FAB19252C}" type="parTrans" cxnId="{099D9831-7264-4641-B6E4-17F702567166}">
      <dgm:prSet custT="1"/>
      <dgm:spPr/>
      <dgm:t>
        <a:bodyPr/>
        <a:lstStyle/>
        <a:p>
          <a:endParaRPr lang="en-US" sz="400">
            <a:latin typeface="+mn-lt"/>
          </a:endParaRPr>
        </a:p>
      </dgm:t>
    </dgm:pt>
    <dgm:pt modelId="{2433DED1-97C3-4789-A518-ED52C879287C}" type="sibTrans" cxnId="{099D9831-7264-4641-B6E4-17F702567166}">
      <dgm:prSet/>
      <dgm:spPr/>
      <dgm:t>
        <a:bodyPr/>
        <a:lstStyle/>
        <a:p>
          <a:endParaRPr lang="en-US" sz="1600">
            <a:latin typeface="+mn-lt"/>
          </a:endParaRPr>
        </a:p>
      </dgm:t>
    </dgm:pt>
    <dgm:pt modelId="{C2A69CB8-5B51-4207-A034-21B88A46CD8D}">
      <dgm:prSet phldrT="[Text]" custT="1"/>
      <dgm:spPr>
        <a:solidFill>
          <a:schemeClr val="accent3">
            <a:lumMod val="75000"/>
          </a:schemeClr>
        </a:solidFill>
      </dgm:spPr>
      <dgm:t>
        <a:bodyPr/>
        <a:lstStyle/>
        <a:p>
          <a:r>
            <a:rPr lang="mn-MN" sz="900" b="1">
              <a:latin typeface="+mn-lt"/>
              <a:cs typeface="Arial" panose="020B0604020202020204" pitchFamily="34" charset="0"/>
            </a:rPr>
            <a:t>ажлын байрны тогтвортой байдал</a:t>
          </a:r>
          <a:endParaRPr lang="en-US" sz="900" b="1">
            <a:latin typeface="+mn-lt"/>
            <a:cs typeface="Arial" panose="020B0604020202020204" pitchFamily="34" charset="0"/>
          </a:endParaRPr>
        </a:p>
      </dgm:t>
    </dgm:pt>
    <dgm:pt modelId="{A9DE5E3C-91EC-4928-B830-D80BCB9AAE6D}" type="parTrans" cxnId="{6B82F6A5-64B8-4E80-BA54-689DB9626BD6}">
      <dgm:prSet custT="1"/>
      <dgm:spPr/>
      <dgm:t>
        <a:bodyPr/>
        <a:lstStyle/>
        <a:p>
          <a:endParaRPr lang="en-US" sz="400">
            <a:latin typeface="+mn-lt"/>
          </a:endParaRPr>
        </a:p>
      </dgm:t>
    </dgm:pt>
    <dgm:pt modelId="{0630BCE7-1D79-4C40-B34A-BBA6AD3B78ED}" type="sibTrans" cxnId="{6B82F6A5-64B8-4E80-BA54-689DB9626BD6}">
      <dgm:prSet/>
      <dgm:spPr/>
      <dgm:t>
        <a:bodyPr/>
        <a:lstStyle/>
        <a:p>
          <a:endParaRPr lang="en-US" sz="1600">
            <a:latin typeface="+mn-lt"/>
          </a:endParaRPr>
        </a:p>
      </dgm:t>
    </dgm:pt>
    <dgm:pt modelId="{654F3988-7CC7-487D-9C96-EBCA37B91C36}">
      <dgm:prSet phldrT="[Text]" custT="1"/>
      <dgm:spPr>
        <a:solidFill>
          <a:srgbClr val="00B050"/>
        </a:solidFill>
      </dgm:spPr>
      <dgm:t>
        <a:bodyPr/>
        <a:lstStyle/>
        <a:p>
          <a:r>
            <a:rPr lang="mn-MN" sz="900" b="1">
              <a:latin typeface="+mn-lt"/>
              <a:cs typeface="Arial" panose="020B0604020202020204" pitchFamily="34" charset="0"/>
            </a:rPr>
            <a:t>мэргэжлийн өсөн дэвжих боломж</a:t>
          </a:r>
          <a:endParaRPr lang="en-US" sz="900" b="1">
            <a:latin typeface="+mn-lt"/>
            <a:cs typeface="Arial" panose="020B0604020202020204" pitchFamily="34" charset="0"/>
          </a:endParaRPr>
        </a:p>
      </dgm:t>
    </dgm:pt>
    <dgm:pt modelId="{156506CD-F18F-4855-A84F-FC258247E6CD}" type="parTrans" cxnId="{596ECC37-83A5-4E82-8109-4D5F1EAB0DD1}">
      <dgm:prSet custT="1"/>
      <dgm:spPr/>
      <dgm:t>
        <a:bodyPr/>
        <a:lstStyle/>
        <a:p>
          <a:endParaRPr lang="en-US" sz="400">
            <a:latin typeface="+mn-lt"/>
          </a:endParaRPr>
        </a:p>
      </dgm:t>
    </dgm:pt>
    <dgm:pt modelId="{A8C2E97B-CE0F-4F11-AF94-22DB08DA2528}" type="sibTrans" cxnId="{596ECC37-83A5-4E82-8109-4D5F1EAB0DD1}">
      <dgm:prSet/>
      <dgm:spPr/>
      <dgm:t>
        <a:bodyPr/>
        <a:lstStyle/>
        <a:p>
          <a:endParaRPr lang="en-US" sz="1600">
            <a:latin typeface="+mn-lt"/>
          </a:endParaRPr>
        </a:p>
      </dgm:t>
    </dgm:pt>
    <dgm:pt modelId="{7E1699EE-0351-46A7-85EE-32374F5C49F2}">
      <dgm:prSet phldrT="[Text]" custT="1"/>
      <dgm:spPr>
        <a:solidFill>
          <a:srgbClr val="FFC000"/>
        </a:solidFill>
      </dgm:spPr>
      <dgm:t>
        <a:bodyPr/>
        <a:lstStyle/>
        <a:p>
          <a:r>
            <a:rPr lang="mn-MN" sz="900" b="1">
              <a:latin typeface="+mn-lt"/>
              <a:cs typeface="Arial" panose="020B0604020202020204" pitchFamily="34" charset="0"/>
            </a:rPr>
            <a:t>мэргэжилдээ сэтгэл хангалуун байдал</a:t>
          </a:r>
          <a:endParaRPr lang="en-US" sz="900" b="1">
            <a:latin typeface="+mn-lt"/>
            <a:cs typeface="Arial" panose="020B0604020202020204" pitchFamily="34" charset="0"/>
          </a:endParaRPr>
        </a:p>
      </dgm:t>
    </dgm:pt>
    <dgm:pt modelId="{8B0857F9-A900-4E82-BCE6-B96ECF7C11C1}" type="parTrans" cxnId="{2CA4B5DA-6648-41BC-B2AF-96822A89FCD4}">
      <dgm:prSet custT="1"/>
      <dgm:spPr/>
      <dgm:t>
        <a:bodyPr/>
        <a:lstStyle/>
        <a:p>
          <a:endParaRPr lang="en-US" sz="400">
            <a:latin typeface="+mn-lt"/>
          </a:endParaRPr>
        </a:p>
      </dgm:t>
    </dgm:pt>
    <dgm:pt modelId="{A41EB9D2-2D44-42ED-AFA7-FC6BB1C06196}" type="sibTrans" cxnId="{2CA4B5DA-6648-41BC-B2AF-96822A89FCD4}">
      <dgm:prSet/>
      <dgm:spPr/>
      <dgm:t>
        <a:bodyPr/>
        <a:lstStyle/>
        <a:p>
          <a:endParaRPr lang="en-US" sz="1600">
            <a:latin typeface="+mn-lt"/>
          </a:endParaRPr>
        </a:p>
      </dgm:t>
    </dgm:pt>
    <dgm:pt modelId="{F67284E5-3AD6-4574-B326-491D367FDEC2}">
      <dgm:prSet phldrT="[Text]" custT="1"/>
      <dgm:spPr>
        <a:solidFill>
          <a:schemeClr val="accent4"/>
        </a:solidFill>
      </dgm:spPr>
      <dgm:t>
        <a:bodyPr/>
        <a:lstStyle/>
        <a:p>
          <a:r>
            <a:rPr lang="mn-MN" sz="900" b="1">
              <a:latin typeface="+mn-lt"/>
              <a:cs typeface="Arial" panose="020B0604020202020204" pitchFamily="34" charset="0"/>
            </a:rPr>
            <a:t>тэтгэвэр тэтгэмж</a:t>
          </a:r>
          <a:endParaRPr lang="en-US" sz="900" b="1">
            <a:latin typeface="+mn-lt"/>
            <a:cs typeface="Arial" panose="020B0604020202020204" pitchFamily="34" charset="0"/>
          </a:endParaRPr>
        </a:p>
        <a:p>
          <a:r>
            <a:rPr lang="mn-MN" sz="900" b="1">
              <a:latin typeface="+mn-lt"/>
              <a:cs typeface="Arial" panose="020B0604020202020204" pitchFamily="34" charset="0"/>
            </a:rPr>
            <a:t> нийгмийн баталгаа</a:t>
          </a:r>
          <a:endParaRPr lang="en-US" sz="900" b="1">
            <a:latin typeface="+mn-lt"/>
            <a:cs typeface="Arial" panose="020B0604020202020204" pitchFamily="34" charset="0"/>
          </a:endParaRPr>
        </a:p>
      </dgm:t>
    </dgm:pt>
    <dgm:pt modelId="{3EC30F2E-94FF-45AE-8C9E-ED602DD63532}" type="parTrans" cxnId="{DBCCA0CC-5226-4967-9BC6-458FF3266E0F}">
      <dgm:prSet custT="1"/>
      <dgm:spPr/>
      <dgm:t>
        <a:bodyPr/>
        <a:lstStyle/>
        <a:p>
          <a:endParaRPr lang="en-US" sz="400">
            <a:latin typeface="+mn-lt"/>
          </a:endParaRPr>
        </a:p>
      </dgm:t>
    </dgm:pt>
    <dgm:pt modelId="{DFE94B3E-7808-45ED-AC3C-2AF6D9D8015E}" type="sibTrans" cxnId="{DBCCA0CC-5226-4967-9BC6-458FF3266E0F}">
      <dgm:prSet/>
      <dgm:spPr/>
      <dgm:t>
        <a:bodyPr/>
        <a:lstStyle/>
        <a:p>
          <a:endParaRPr lang="en-US" sz="1600">
            <a:latin typeface="+mn-lt"/>
          </a:endParaRPr>
        </a:p>
      </dgm:t>
    </dgm:pt>
    <dgm:pt modelId="{527AAAC4-5C6F-418B-92C1-DFCEF30DC046}">
      <dgm:prSet phldrT="[Text]" custT="1"/>
      <dgm:spPr>
        <a:solidFill>
          <a:srgbClr val="00B0F0"/>
        </a:solidFill>
      </dgm:spPr>
      <dgm:t>
        <a:bodyPr/>
        <a:lstStyle/>
        <a:p>
          <a:r>
            <a:rPr lang="mn-MN" sz="1050" b="1">
              <a:latin typeface="+mn-lt"/>
              <a:cs typeface="Arial" panose="020B0604020202020204" pitchFamily="34" charset="0"/>
            </a:rPr>
            <a:t>дадлага туршлага</a:t>
          </a:r>
          <a:endParaRPr lang="en-US" sz="1050" b="1">
            <a:latin typeface="+mn-lt"/>
            <a:cs typeface="Arial" panose="020B0604020202020204" pitchFamily="34" charset="0"/>
          </a:endParaRPr>
        </a:p>
      </dgm:t>
    </dgm:pt>
    <dgm:pt modelId="{134DEFB1-B5E8-4166-B69F-8A1E028F311A}" type="parTrans" cxnId="{A6E65307-4615-459B-BC86-9F8F2427A5E3}">
      <dgm:prSet custT="1"/>
      <dgm:spPr/>
      <dgm:t>
        <a:bodyPr/>
        <a:lstStyle/>
        <a:p>
          <a:endParaRPr lang="en-US" sz="400">
            <a:latin typeface="+mn-lt"/>
          </a:endParaRPr>
        </a:p>
      </dgm:t>
    </dgm:pt>
    <dgm:pt modelId="{218E1C33-1FAE-47F9-9C09-D1D8FE2EA2B4}" type="sibTrans" cxnId="{A6E65307-4615-459B-BC86-9F8F2427A5E3}">
      <dgm:prSet/>
      <dgm:spPr/>
      <dgm:t>
        <a:bodyPr/>
        <a:lstStyle/>
        <a:p>
          <a:endParaRPr lang="en-US" sz="1600">
            <a:latin typeface="+mn-lt"/>
          </a:endParaRPr>
        </a:p>
      </dgm:t>
    </dgm:pt>
    <dgm:pt modelId="{B5F78A29-84CB-437E-8C4E-5616DA1F9622}">
      <dgm:prSet phldrT="[Text]" custT="1"/>
      <dgm:spPr>
        <a:solidFill>
          <a:schemeClr val="accent3">
            <a:lumMod val="75000"/>
          </a:schemeClr>
        </a:solidFill>
      </dgm:spPr>
      <dgm:t>
        <a:bodyPr/>
        <a:lstStyle/>
        <a:p>
          <a:r>
            <a:rPr lang="mn-MN" sz="900" b="1">
              <a:latin typeface="+mn-lt"/>
              <a:cs typeface="Arial" panose="020B0604020202020204" pitchFamily="34" charset="0"/>
            </a:rPr>
            <a:t>эцэг эх гэр бүлийн шаардлага, харилцаа холбоо</a:t>
          </a:r>
          <a:endParaRPr lang="en-US" sz="900" b="1">
            <a:latin typeface="+mn-lt"/>
            <a:cs typeface="Arial" panose="020B0604020202020204" pitchFamily="34" charset="0"/>
          </a:endParaRPr>
        </a:p>
      </dgm:t>
    </dgm:pt>
    <dgm:pt modelId="{63270A68-B476-4119-A59D-BD81A4127C66}" type="parTrans" cxnId="{B542461B-5133-431B-BAD5-E3E0F2D207F1}">
      <dgm:prSet custT="1"/>
      <dgm:spPr/>
      <dgm:t>
        <a:bodyPr/>
        <a:lstStyle/>
        <a:p>
          <a:endParaRPr lang="en-US" sz="400">
            <a:latin typeface="+mn-lt"/>
          </a:endParaRPr>
        </a:p>
      </dgm:t>
    </dgm:pt>
    <dgm:pt modelId="{FD2F006D-AF3F-40AB-A8FE-B24DA0FD405B}" type="sibTrans" cxnId="{B542461B-5133-431B-BAD5-E3E0F2D207F1}">
      <dgm:prSet/>
      <dgm:spPr/>
      <dgm:t>
        <a:bodyPr/>
        <a:lstStyle/>
        <a:p>
          <a:endParaRPr lang="en-US" sz="1600">
            <a:latin typeface="+mn-lt"/>
          </a:endParaRPr>
        </a:p>
      </dgm:t>
    </dgm:pt>
    <dgm:pt modelId="{635BF7B7-13B1-48F0-ADDE-7B071AE6FEA6}">
      <dgm:prSet phldrT="[Text]" custT="1"/>
      <dgm:spPr>
        <a:solidFill>
          <a:srgbClr val="FF0000"/>
        </a:solidFill>
      </dgm:spPr>
      <dgm:t>
        <a:bodyPr/>
        <a:lstStyle/>
        <a:p>
          <a:r>
            <a:rPr lang="mn-MN" sz="800" b="1">
              <a:latin typeface="+mn-lt"/>
              <a:cs typeface="Arial" panose="020B0604020202020204" pitchFamily="34" charset="0"/>
            </a:rPr>
            <a:t>Орчин,  сургалтын материаллаг хангамж</a:t>
          </a:r>
          <a:endParaRPr lang="en-US" sz="800" b="1">
            <a:latin typeface="+mn-lt"/>
            <a:cs typeface="Arial" panose="020B0604020202020204" pitchFamily="34" charset="0"/>
          </a:endParaRPr>
        </a:p>
      </dgm:t>
    </dgm:pt>
    <dgm:pt modelId="{946CAEA3-948A-4896-B3B9-251CB9BDAE6B}" type="sibTrans" cxnId="{4CA30D14-C438-48C2-A13E-0125A52674F1}">
      <dgm:prSet/>
      <dgm:spPr/>
      <dgm:t>
        <a:bodyPr/>
        <a:lstStyle/>
        <a:p>
          <a:endParaRPr lang="en-US" sz="1600">
            <a:latin typeface="+mn-lt"/>
          </a:endParaRPr>
        </a:p>
      </dgm:t>
    </dgm:pt>
    <dgm:pt modelId="{A48130AC-46BF-46C2-B0B4-49BD451A60B1}" type="parTrans" cxnId="{4CA30D14-C438-48C2-A13E-0125A52674F1}">
      <dgm:prSet custT="1"/>
      <dgm:spPr/>
      <dgm:t>
        <a:bodyPr/>
        <a:lstStyle/>
        <a:p>
          <a:endParaRPr lang="en-US" sz="400">
            <a:latin typeface="+mn-lt"/>
          </a:endParaRPr>
        </a:p>
      </dgm:t>
    </dgm:pt>
    <dgm:pt modelId="{368EA334-CDD4-4179-9F6D-1E0DC00E9837}" type="pres">
      <dgm:prSet presAssocID="{385F108A-42C0-4BDE-A8B0-7784A08C5AE2}" presName="cycle" presStyleCnt="0">
        <dgm:presLayoutVars>
          <dgm:chMax val="1"/>
          <dgm:dir/>
          <dgm:animLvl val="ctr"/>
          <dgm:resizeHandles val="exact"/>
        </dgm:presLayoutVars>
      </dgm:prSet>
      <dgm:spPr/>
    </dgm:pt>
    <dgm:pt modelId="{21B78F4F-CFC5-48F8-BFA9-F1D909205212}" type="pres">
      <dgm:prSet presAssocID="{64B1A3A9-FF5B-4097-995F-A10E49724FF0}" presName="centerShape" presStyleLbl="node0" presStyleIdx="0" presStyleCnt="1" custScaleX="198002"/>
      <dgm:spPr/>
    </dgm:pt>
    <dgm:pt modelId="{26132D65-123C-494F-8912-32D50BF0C600}" type="pres">
      <dgm:prSet presAssocID="{DA4968B4-F2FD-47CF-9D0F-4EF850A7EB11}" presName="Name9" presStyleLbl="parChTrans1D2" presStyleIdx="0" presStyleCnt="9"/>
      <dgm:spPr/>
    </dgm:pt>
    <dgm:pt modelId="{DD0BCE47-2862-4F0A-B3C5-4F2DBF6E5966}" type="pres">
      <dgm:prSet presAssocID="{DA4968B4-F2FD-47CF-9D0F-4EF850A7EB11}" presName="connTx" presStyleLbl="parChTrans1D2" presStyleIdx="0" presStyleCnt="9"/>
      <dgm:spPr/>
    </dgm:pt>
    <dgm:pt modelId="{A373FD19-C8A5-46E6-8D1E-CA403FFF97BE}" type="pres">
      <dgm:prSet presAssocID="{BAFB0168-3D53-4509-8B8F-825C9691CC2B}" presName="node" presStyleLbl="node1" presStyleIdx="0" presStyleCnt="9" custScaleX="192907" custRadScaleRad="101208" custRadScaleInc="20586">
        <dgm:presLayoutVars>
          <dgm:bulletEnabled val="1"/>
        </dgm:presLayoutVars>
      </dgm:prSet>
      <dgm:spPr/>
    </dgm:pt>
    <dgm:pt modelId="{B5AD99F0-A882-42B5-9D75-BC5D4C22ECD5}" type="pres">
      <dgm:prSet presAssocID="{719DA397-469D-46B2-80F2-609FAB19252C}" presName="Name9" presStyleLbl="parChTrans1D2" presStyleIdx="1" presStyleCnt="9"/>
      <dgm:spPr/>
    </dgm:pt>
    <dgm:pt modelId="{AEEF4E0E-CDF7-407D-881B-9A97DCA11AEA}" type="pres">
      <dgm:prSet presAssocID="{719DA397-469D-46B2-80F2-609FAB19252C}" presName="connTx" presStyleLbl="parChTrans1D2" presStyleIdx="1" presStyleCnt="9"/>
      <dgm:spPr/>
    </dgm:pt>
    <dgm:pt modelId="{F7E8035B-7A65-4E47-A7D6-086246CF00E5}" type="pres">
      <dgm:prSet presAssocID="{C9147584-4FC0-4775-9A1E-354A03C4C66F}" presName="node" presStyleLbl="node1" presStyleIdx="1" presStyleCnt="9" custScaleX="198616" custRadScaleRad="119206" custRadScaleInc="60272">
        <dgm:presLayoutVars>
          <dgm:bulletEnabled val="1"/>
        </dgm:presLayoutVars>
      </dgm:prSet>
      <dgm:spPr/>
    </dgm:pt>
    <dgm:pt modelId="{94C38A65-0308-48D1-BC01-D5DEE3107A71}" type="pres">
      <dgm:prSet presAssocID="{A9DE5E3C-91EC-4928-B830-D80BCB9AAE6D}" presName="Name9" presStyleLbl="parChTrans1D2" presStyleIdx="2" presStyleCnt="9"/>
      <dgm:spPr/>
    </dgm:pt>
    <dgm:pt modelId="{FA74A1D7-240F-4635-B93D-432D5160BA9D}" type="pres">
      <dgm:prSet presAssocID="{A9DE5E3C-91EC-4928-B830-D80BCB9AAE6D}" presName="connTx" presStyleLbl="parChTrans1D2" presStyleIdx="2" presStyleCnt="9"/>
      <dgm:spPr/>
    </dgm:pt>
    <dgm:pt modelId="{F0C8992E-5FA5-4F5D-B15A-419CFC41B13C}" type="pres">
      <dgm:prSet presAssocID="{C2A69CB8-5B51-4207-A034-21B88A46CD8D}" presName="node" presStyleLbl="node1" presStyleIdx="2" presStyleCnt="9" custScaleX="185533" custRadScaleRad="103096" custRadScaleInc="3826">
        <dgm:presLayoutVars>
          <dgm:bulletEnabled val="1"/>
        </dgm:presLayoutVars>
      </dgm:prSet>
      <dgm:spPr/>
    </dgm:pt>
    <dgm:pt modelId="{1A7162FD-12D4-4144-90AA-42439A9234BE}" type="pres">
      <dgm:prSet presAssocID="{156506CD-F18F-4855-A84F-FC258247E6CD}" presName="Name9" presStyleLbl="parChTrans1D2" presStyleIdx="3" presStyleCnt="9"/>
      <dgm:spPr/>
    </dgm:pt>
    <dgm:pt modelId="{04EA195D-B4CB-4241-BBCA-988A005A796E}" type="pres">
      <dgm:prSet presAssocID="{156506CD-F18F-4855-A84F-FC258247E6CD}" presName="connTx" presStyleLbl="parChTrans1D2" presStyleIdx="3" presStyleCnt="9"/>
      <dgm:spPr/>
    </dgm:pt>
    <dgm:pt modelId="{007D4722-AB60-4AD8-871A-723DB8DFB431}" type="pres">
      <dgm:prSet presAssocID="{654F3988-7CC7-487D-9C96-EBCA37B91C36}" presName="node" presStyleLbl="node1" presStyleIdx="3" presStyleCnt="9" custScaleX="212428" custRadScaleRad="109525" custRadScaleInc="-39379">
        <dgm:presLayoutVars>
          <dgm:bulletEnabled val="1"/>
        </dgm:presLayoutVars>
      </dgm:prSet>
      <dgm:spPr/>
    </dgm:pt>
    <dgm:pt modelId="{5F79022B-B50D-4D30-ABA6-431FF3E88703}" type="pres">
      <dgm:prSet presAssocID="{3EC30F2E-94FF-45AE-8C9E-ED602DD63532}" presName="Name9" presStyleLbl="parChTrans1D2" presStyleIdx="4" presStyleCnt="9"/>
      <dgm:spPr/>
    </dgm:pt>
    <dgm:pt modelId="{D998F4F4-02EA-4283-80BF-135F868DAF3E}" type="pres">
      <dgm:prSet presAssocID="{3EC30F2E-94FF-45AE-8C9E-ED602DD63532}" presName="connTx" presStyleLbl="parChTrans1D2" presStyleIdx="4" presStyleCnt="9"/>
      <dgm:spPr/>
    </dgm:pt>
    <dgm:pt modelId="{12B70505-9982-4EFA-889F-E60104386FE4}" type="pres">
      <dgm:prSet presAssocID="{F67284E5-3AD6-4574-B326-491D367FDEC2}" presName="node" presStyleLbl="node1" presStyleIdx="4" presStyleCnt="9" custScaleX="202465" custRadScaleRad="115284" custRadScaleInc="-52883">
        <dgm:presLayoutVars>
          <dgm:bulletEnabled val="1"/>
        </dgm:presLayoutVars>
      </dgm:prSet>
      <dgm:spPr/>
    </dgm:pt>
    <dgm:pt modelId="{6E838C50-999B-4BC8-B929-91B8123910D9}" type="pres">
      <dgm:prSet presAssocID="{A48130AC-46BF-46C2-B0B4-49BD451A60B1}" presName="Name9" presStyleLbl="parChTrans1D2" presStyleIdx="5" presStyleCnt="9"/>
      <dgm:spPr/>
    </dgm:pt>
    <dgm:pt modelId="{8725D2FC-C01D-4BA0-93C0-423EAFE1BC1C}" type="pres">
      <dgm:prSet presAssocID="{A48130AC-46BF-46C2-B0B4-49BD451A60B1}" presName="connTx" presStyleLbl="parChTrans1D2" presStyleIdx="5" presStyleCnt="9"/>
      <dgm:spPr/>
    </dgm:pt>
    <dgm:pt modelId="{EE801D53-C17A-466F-953B-ECA4F41FD355}" type="pres">
      <dgm:prSet presAssocID="{635BF7B7-13B1-48F0-ADDE-7B071AE6FEA6}" presName="node" presStyleLbl="node1" presStyleIdx="5" presStyleCnt="9" custScaleX="235179" custScaleY="120337" custRadScaleRad="114438" custRadScaleInc="69807">
        <dgm:presLayoutVars>
          <dgm:bulletEnabled val="1"/>
        </dgm:presLayoutVars>
      </dgm:prSet>
      <dgm:spPr/>
    </dgm:pt>
    <dgm:pt modelId="{8A978E09-8E0E-465F-837D-F3FB2878E6E1}" type="pres">
      <dgm:prSet presAssocID="{134DEFB1-B5E8-4166-B69F-8A1E028F311A}" presName="Name9" presStyleLbl="parChTrans1D2" presStyleIdx="6" presStyleCnt="9"/>
      <dgm:spPr/>
    </dgm:pt>
    <dgm:pt modelId="{507329A6-95FC-446B-9690-693697BF7DB6}" type="pres">
      <dgm:prSet presAssocID="{134DEFB1-B5E8-4166-B69F-8A1E028F311A}" presName="connTx" presStyleLbl="parChTrans1D2" presStyleIdx="6" presStyleCnt="9"/>
      <dgm:spPr/>
    </dgm:pt>
    <dgm:pt modelId="{CBE8CD14-E577-4617-9A13-91B415FCF4BF}" type="pres">
      <dgm:prSet presAssocID="{527AAAC4-5C6F-418B-92C1-DFCEF30DC046}" presName="node" presStyleLbl="node1" presStyleIdx="6" presStyleCnt="9" custScaleX="208464" custRadScaleRad="105990" custRadScaleInc="46547">
        <dgm:presLayoutVars>
          <dgm:bulletEnabled val="1"/>
        </dgm:presLayoutVars>
      </dgm:prSet>
      <dgm:spPr/>
    </dgm:pt>
    <dgm:pt modelId="{8292B4BA-BB41-4A15-9A6B-06613EC1C154}" type="pres">
      <dgm:prSet presAssocID="{63270A68-B476-4119-A59D-BD81A4127C66}" presName="Name9" presStyleLbl="parChTrans1D2" presStyleIdx="7" presStyleCnt="9"/>
      <dgm:spPr/>
    </dgm:pt>
    <dgm:pt modelId="{03A908FC-3ACC-4A64-8D4C-098F7E321C83}" type="pres">
      <dgm:prSet presAssocID="{63270A68-B476-4119-A59D-BD81A4127C66}" presName="connTx" presStyleLbl="parChTrans1D2" presStyleIdx="7" presStyleCnt="9"/>
      <dgm:spPr/>
    </dgm:pt>
    <dgm:pt modelId="{5A4D9C65-8D4A-4392-B137-A9EFB9FFACD7}" type="pres">
      <dgm:prSet presAssocID="{B5F78A29-84CB-437E-8C4E-5616DA1F9622}" presName="node" presStyleLbl="node1" presStyleIdx="7" presStyleCnt="9" custScaleX="204362">
        <dgm:presLayoutVars>
          <dgm:bulletEnabled val="1"/>
        </dgm:presLayoutVars>
      </dgm:prSet>
      <dgm:spPr/>
    </dgm:pt>
    <dgm:pt modelId="{CB918390-8AFE-45D0-8E24-CCF355CBC051}" type="pres">
      <dgm:prSet presAssocID="{8B0857F9-A900-4E82-BCE6-B96ECF7C11C1}" presName="Name9" presStyleLbl="parChTrans1D2" presStyleIdx="8" presStyleCnt="9"/>
      <dgm:spPr/>
    </dgm:pt>
    <dgm:pt modelId="{E608FC2F-E9F3-41A8-8F43-B9E761BE6DBE}" type="pres">
      <dgm:prSet presAssocID="{8B0857F9-A900-4E82-BCE6-B96ECF7C11C1}" presName="connTx" presStyleLbl="parChTrans1D2" presStyleIdx="8" presStyleCnt="9"/>
      <dgm:spPr/>
    </dgm:pt>
    <dgm:pt modelId="{14ABDA29-8476-43C7-A321-C5A7978FB09B}" type="pres">
      <dgm:prSet presAssocID="{7E1699EE-0351-46A7-85EE-32374F5C49F2}" presName="node" presStyleLbl="node1" presStyleIdx="8" presStyleCnt="9" custScaleX="208827" custRadScaleRad="114457" custRadScaleInc="-59387">
        <dgm:presLayoutVars>
          <dgm:bulletEnabled val="1"/>
        </dgm:presLayoutVars>
      </dgm:prSet>
      <dgm:spPr/>
    </dgm:pt>
  </dgm:ptLst>
  <dgm:cxnLst>
    <dgm:cxn modelId="{A6E65307-4615-459B-BC86-9F8F2427A5E3}" srcId="{64B1A3A9-FF5B-4097-995F-A10E49724FF0}" destId="{527AAAC4-5C6F-418B-92C1-DFCEF30DC046}" srcOrd="6" destOrd="0" parTransId="{134DEFB1-B5E8-4166-B69F-8A1E028F311A}" sibTransId="{218E1C33-1FAE-47F9-9C09-D1D8FE2EA2B4}"/>
    <dgm:cxn modelId="{D1E2FC0F-5CDC-4346-8018-426299B104DE}" type="presOf" srcId="{B5F78A29-84CB-437E-8C4E-5616DA1F9622}" destId="{5A4D9C65-8D4A-4392-B137-A9EFB9FFACD7}" srcOrd="0" destOrd="0" presId="urn:microsoft.com/office/officeart/2005/8/layout/radial1"/>
    <dgm:cxn modelId="{5773CA13-EB63-40A4-A927-4F67C47CEE70}" type="presOf" srcId="{385F108A-42C0-4BDE-A8B0-7784A08C5AE2}" destId="{368EA334-CDD4-4179-9F6D-1E0DC00E9837}" srcOrd="0" destOrd="0" presId="urn:microsoft.com/office/officeart/2005/8/layout/radial1"/>
    <dgm:cxn modelId="{4CA30D14-C438-48C2-A13E-0125A52674F1}" srcId="{64B1A3A9-FF5B-4097-995F-A10E49724FF0}" destId="{635BF7B7-13B1-48F0-ADDE-7B071AE6FEA6}" srcOrd="5" destOrd="0" parTransId="{A48130AC-46BF-46C2-B0B4-49BD451A60B1}" sibTransId="{946CAEA3-948A-4896-B3B9-251CB9BDAE6B}"/>
    <dgm:cxn modelId="{B542461B-5133-431B-BAD5-E3E0F2D207F1}" srcId="{64B1A3A9-FF5B-4097-995F-A10E49724FF0}" destId="{B5F78A29-84CB-437E-8C4E-5616DA1F9622}" srcOrd="7" destOrd="0" parTransId="{63270A68-B476-4119-A59D-BD81A4127C66}" sibTransId="{FD2F006D-AF3F-40AB-A8FE-B24DA0FD405B}"/>
    <dgm:cxn modelId="{7DA2611F-3A53-4CDF-B0A3-82DFD131BE8B}" type="presOf" srcId="{63270A68-B476-4119-A59D-BD81A4127C66}" destId="{8292B4BA-BB41-4A15-9A6B-06613EC1C154}" srcOrd="0" destOrd="0" presId="urn:microsoft.com/office/officeart/2005/8/layout/radial1"/>
    <dgm:cxn modelId="{31A6F023-2537-4F77-BF79-93B899B24389}" type="presOf" srcId="{C9147584-4FC0-4775-9A1E-354A03C4C66F}" destId="{F7E8035B-7A65-4E47-A7D6-086246CF00E5}" srcOrd="0" destOrd="0" presId="urn:microsoft.com/office/officeart/2005/8/layout/radial1"/>
    <dgm:cxn modelId="{94534931-E670-47D6-8222-DB7794C05B57}" type="presOf" srcId="{64B1A3A9-FF5B-4097-995F-A10E49724FF0}" destId="{21B78F4F-CFC5-48F8-BFA9-F1D909205212}" srcOrd="0" destOrd="0" presId="urn:microsoft.com/office/officeart/2005/8/layout/radial1"/>
    <dgm:cxn modelId="{099D9831-7264-4641-B6E4-17F702567166}" srcId="{64B1A3A9-FF5B-4097-995F-A10E49724FF0}" destId="{C9147584-4FC0-4775-9A1E-354A03C4C66F}" srcOrd="1" destOrd="0" parTransId="{719DA397-469D-46B2-80F2-609FAB19252C}" sibTransId="{2433DED1-97C3-4789-A518-ED52C879287C}"/>
    <dgm:cxn modelId="{596ECC37-83A5-4E82-8109-4D5F1EAB0DD1}" srcId="{64B1A3A9-FF5B-4097-995F-A10E49724FF0}" destId="{654F3988-7CC7-487D-9C96-EBCA37B91C36}" srcOrd="3" destOrd="0" parTransId="{156506CD-F18F-4855-A84F-FC258247E6CD}" sibTransId="{A8C2E97B-CE0F-4F11-AF94-22DB08DA2528}"/>
    <dgm:cxn modelId="{B311E137-EE3C-47DD-B1D1-81E39518822C}" type="presOf" srcId="{A9DE5E3C-91EC-4928-B830-D80BCB9AAE6D}" destId="{FA74A1D7-240F-4635-B93D-432D5160BA9D}" srcOrd="1" destOrd="0" presId="urn:microsoft.com/office/officeart/2005/8/layout/radial1"/>
    <dgm:cxn modelId="{11BCF93E-AA09-4AA7-91F7-103ACB2242C6}" type="presOf" srcId="{3EC30F2E-94FF-45AE-8C9E-ED602DD63532}" destId="{D998F4F4-02EA-4283-80BF-135F868DAF3E}" srcOrd="1" destOrd="0" presId="urn:microsoft.com/office/officeart/2005/8/layout/radial1"/>
    <dgm:cxn modelId="{1CA78E4D-5F7C-4D18-8E14-52955E1A1A44}" type="presOf" srcId="{A48130AC-46BF-46C2-B0B4-49BD451A60B1}" destId="{8725D2FC-C01D-4BA0-93C0-423EAFE1BC1C}" srcOrd="1" destOrd="0" presId="urn:microsoft.com/office/officeart/2005/8/layout/radial1"/>
    <dgm:cxn modelId="{F9591A50-C145-4677-AC70-9552476A2D19}" type="presOf" srcId="{F67284E5-3AD6-4574-B326-491D367FDEC2}" destId="{12B70505-9982-4EFA-889F-E60104386FE4}" srcOrd="0" destOrd="0" presId="urn:microsoft.com/office/officeart/2005/8/layout/radial1"/>
    <dgm:cxn modelId="{6B600058-744C-45DC-97D1-1AE1BE6F70E7}" type="presOf" srcId="{3EC30F2E-94FF-45AE-8C9E-ED602DD63532}" destId="{5F79022B-B50D-4D30-ABA6-431FF3E88703}" srcOrd="0" destOrd="0" presId="urn:microsoft.com/office/officeart/2005/8/layout/radial1"/>
    <dgm:cxn modelId="{337E6058-3AD0-48F1-BEC0-5D46B2275F45}" srcId="{385F108A-42C0-4BDE-A8B0-7784A08C5AE2}" destId="{64B1A3A9-FF5B-4097-995F-A10E49724FF0}" srcOrd="0" destOrd="0" parTransId="{52B8ED3A-165A-40A8-909E-871318A2DACE}" sibTransId="{1E801060-7102-48C0-9DC1-9B80B5E01D5B}"/>
    <dgm:cxn modelId="{65170366-730F-4B4A-8C0D-4143D3F55D7F}" type="presOf" srcId="{156506CD-F18F-4855-A84F-FC258247E6CD}" destId="{1A7162FD-12D4-4144-90AA-42439A9234BE}" srcOrd="0" destOrd="0" presId="urn:microsoft.com/office/officeart/2005/8/layout/radial1"/>
    <dgm:cxn modelId="{A67A8F7C-273C-4F5F-BD5B-F8E246A93AF0}" type="presOf" srcId="{7E1699EE-0351-46A7-85EE-32374F5C49F2}" destId="{14ABDA29-8476-43C7-A321-C5A7978FB09B}" srcOrd="0" destOrd="0" presId="urn:microsoft.com/office/officeart/2005/8/layout/radial1"/>
    <dgm:cxn modelId="{499C9B8C-D673-402E-B9BC-E33242FFB8F2}" srcId="{64B1A3A9-FF5B-4097-995F-A10E49724FF0}" destId="{BAFB0168-3D53-4509-8B8F-825C9691CC2B}" srcOrd="0" destOrd="0" parTransId="{DA4968B4-F2FD-47CF-9D0F-4EF850A7EB11}" sibTransId="{5E11CEB7-1008-42B0-9474-D1DD43ABB020}"/>
    <dgm:cxn modelId="{1E330692-95B0-4956-9062-8C41636720FA}" type="presOf" srcId="{635BF7B7-13B1-48F0-ADDE-7B071AE6FEA6}" destId="{EE801D53-C17A-466F-953B-ECA4F41FD355}" srcOrd="0" destOrd="0" presId="urn:microsoft.com/office/officeart/2005/8/layout/radial1"/>
    <dgm:cxn modelId="{0E6EB19A-75D7-4196-B97F-62A3F60200C8}" type="presOf" srcId="{63270A68-B476-4119-A59D-BD81A4127C66}" destId="{03A908FC-3ACC-4A64-8D4C-098F7E321C83}" srcOrd="1" destOrd="0" presId="urn:microsoft.com/office/officeart/2005/8/layout/radial1"/>
    <dgm:cxn modelId="{CB296B9B-B56C-47E2-A738-CC4A1D0B054E}" type="presOf" srcId="{DA4968B4-F2FD-47CF-9D0F-4EF850A7EB11}" destId="{DD0BCE47-2862-4F0A-B3C5-4F2DBF6E5966}" srcOrd="1" destOrd="0" presId="urn:microsoft.com/office/officeart/2005/8/layout/radial1"/>
    <dgm:cxn modelId="{CC78FFA0-F953-48A0-975A-F5C902FC7ADE}" type="presOf" srcId="{719DA397-469D-46B2-80F2-609FAB19252C}" destId="{B5AD99F0-A882-42B5-9D75-BC5D4C22ECD5}" srcOrd="0" destOrd="0" presId="urn:microsoft.com/office/officeart/2005/8/layout/radial1"/>
    <dgm:cxn modelId="{D0609AA5-C1FB-40D9-9F05-D281BFBD73D9}" type="presOf" srcId="{719DA397-469D-46B2-80F2-609FAB19252C}" destId="{AEEF4E0E-CDF7-407D-881B-9A97DCA11AEA}" srcOrd="1" destOrd="0" presId="urn:microsoft.com/office/officeart/2005/8/layout/radial1"/>
    <dgm:cxn modelId="{6B82F6A5-64B8-4E80-BA54-689DB9626BD6}" srcId="{64B1A3A9-FF5B-4097-995F-A10E49724FF0}" destId="{C2A69CB8-5B51-4207-A034-21B88A46CD8D}" srcOrd="2" destOrd="0" parTransId="{A9DE5E3C-91EC-4928-B830-D80BCB9AAE6D}" sibTransId="{0630BCE7-1D79-4C40-B34A-BBA6AD3B78ED}"/>
    <dgm:cxn modelId="{F5AF87AF-A847-4FFA-94BC-9E517AEA33CC}" type="presOf" srcId="{8B0857F9-A900-4E82-BCE6-B96ECF7C11C1}" destId="{E608FC2F-E9F3-41A8-8F43-B9E761BE6DBE}" srcOrd="1" destOrd="0" presId="urn:microsoft.com/office/officeart/2005/8/layout/radial1"/>
    <dgm:cxn modelId="{B6F050B4-6F6A-45E1-A852-02A9B3CAC5BC}" type="presOf" srcId="{A48130AC-46BF-46C2-B0B4-49BD451A60B1}" destId="{6E838C50-999B-4BC8-B929-91B8123910D9}" srcOrd="0" destOrd="0" presId="urn:microsoft.com/office/officeart/2005/8/layout/radial1"/>
    <dgm:cxn modelId="{30836DB4-CD6C-4257-8268-6A6FB98D29B2}" type="presOf" srcId="{134DEFB1-B5E8-4166-B69F-8A1E028F311A}" destId="{507329A6-95FC-446B-9690-693697BF7DB6}" srcOrd="1" destOrd="0" presId="urn:microsoft.com/office/officeart/2005/8/layout/radial1"/>
    <dgm:cxn modelId="{18BB26BD-A0CF-4F47-84B3-E760DD694BB7}" type="presOf" srcId="{A9DE5E3C-91EC-4928-B830-D80BCB9AAE6D}" destId="{94C38A65-0308-48D1-BC01-D5DEE3107A71}" srcOrd="0" destOrd="0" presId="urn:microsoft.com/office/officeart/2005/8/layout/radial1"/>
    <dgm:cxn modelId="{DBCCA0CC-5226-4967-9BC6-458FF3266E0F}" srcId="{64B1A3A9-FF5B-4097-995F-A10E49724FF0}" destId="{F67284E5-3AD6-4574-B326-491D367FDEC2}" srcOrd="4" destOrd="0" parTransId="{3EC30F2E-94FF-45AE-8C9E-ED602DD63532}" sibTransId="{DFE94B3E-7808-45ED-AC3C-2AF6D9D8015E}"/>
    <dgm:cxn modelId="{AB161ED1-B992-4E3B-BA37-72E2BD7E1D99}" type="presOf" srcId="{BAFB0168-3D53-4509-8B8F-825C9691CC2B}" destId="{A373FD19-C8A5-46E6-8D1E-CA403FFF97BE}" srcOrd="0" destOrd="0" presId="urn:microsoft.com/office/officeart/2005/8/layout/radial1"/>
    <dgm:cxn modelId="{75E3F5D8-F89B-4A00-8ACD-323F536D36D3}" type="presOf" srcId="{8B0857F9-A900-4E82-BCE6-B96ECF7C11C1}" destId="{CB918390-8AFE-45D0-8E24-CCF355CBC051}" srcOrd="0" destOrd="0" presId="urn:microsoft.com/office/officeart/2005/8/layout/radial1"/>
    <dgm:cxn modelId="{2CA4B5DA-6648-41BC-B2AF-96822A89FCD4}" srcId="{64B1A3A9-FF5B-4097-995F-A10E49724FF0}" destId="{7E1699EE-0351-46A7-85EE-32374F5C49F2}" srcOrd="8" destOrd="0" parTransId="{8B0857F9-A900-4E82-BCE6-B96ECF7C11C1}" sibTransId="{A41EB9D2-2D44-42ED-AFA7-FC6BB1C06196}"/>
    <dgm:cxn modelId="{6F7A91DF-C09C-4770-8A99-A6F4BD660DD0}" type="presOf" srcId="{134DEFB1-B5E8-4166-B69F-8A1E028F311A}" destId="{8A978E09-8E0E-465F-837D-F3FB2878E6E1}" srcOrd="0" destOrd="0" presId="urn:microsoft.com/office/officeart/2005/8/layout/radial1"/>
    <dgm:cxn modelId="{739A5BE1-A885-4E69-954D-8B56861AE3EF}" type="presOf" srcId="{527AAAC4-5C6F-418B-92C1-DFCEF30DC046}" destId="{CBE8CD14-E577-4617-9A13-91B415FCF4BF}" srcOrd="0" destOrd="0" presId="urn:microsoft.com/office/officeart/2005/8/layout/radial1"/>
    <dgm:cxn modelId="{D11715E4-590D-4F09-88BC-588E45FABFEC}" type="presOf" srcId="{654F3988-7CC7-487D-9C96-EBCA37B91C36}" destId="{007D4722-AB60-4AD8-871A-723DB8DFB431}" srcOrd="0" destOrd="0" presId="urn:microsoft.com/office/officeart/2005/8/layout/radial1"/>
    <dgm:cxn modelId="{348180ED-D123-42E5-8696-07F4AE72FF23}" type="presOf" srcId="{DA4968B4-F2FD-47CF-9D0F-4EF850A7EB11}" destId="{26132D65-123C-494F-8912-32D50BF0C600}" srcOrd="0" destOrd="0" presId="urn:microsoft.com/office/officeart/2005/8/layout/radial1"/>
    <dgm:cxn modelId="{C901F7F2-4DDE-4280-B441-C83EC9D7BC1B}" type="presOf" srcId="{156506CD-F18F-4855-A84F-FC258247E6CD}" destId="{04EA195D-B4CB-4241-BBCA-988A005A796E}" srcOrd="1" destOrd="0" presId="urn:microsoft.com/office/officeart/2005/8/layout/radial1"/>
    <dgm:cxn modelId="{6A6188F5-4A2C-4C4B-9F41-3313B1446BC6}" type="presOf" srcId="{C2A69CB8-5B51-4207-A034-21B88A46CD8D}" destId="{F0C8992E-5FA5-4F5D-B15A-419CFC41B13C}" srcOrd="0" destOrd="0" presId="urn:microsoft.com/office/officeart/2005/8/layout/radial1"/>
    <dgm:cxn modelId="{3DF723DB-E6B5-41FD-88C0-8A81373459D0}" type="presParOf" srcId="{368EA334-CDD4-4179-9F6D-1E0DC00E9837}" destId="{21B78F4F-CFC5-48F8-BFA9-F1D909205212}" srcOrd="0" destOrd="0" presId="urn:microsoft.com/office/officeart/2005/8/layout/radial1"/>
    <dgm:cxn modelId="{CCAD8806-8C53-41F6-A3B9-33D72144CDFD}" type="presParOf" srcId="{368EA334-CDD4-4179-9F6D-1E0DC00E9837}" destId="{26132D65-123C-494F-8912-32D50BF0C600}" srcOrd="1" destOrd="0" presId="urn:microsoft.com/office/officeart/2005/8/layout/radial1"/>
    <dgm:cxn modelId="{14458FCA-F309-4AC5-B3A8-7F4B86326E88}" type="presParOf" srcId="{26132D65-123C-494F-8912-32D50BF0C600}" destId="{DD0BCE47-2862-4F0A-B3C5-4F2DBF6E5966}" srcOrd="0" destOrd="0" presId="urn:microsoft.com/office/officeart/2005/8/layout/radial1"/>
    <dgm:cxn modelId="{6576AF33-620E-4927-846F-9404DAD77AF9}" type="presParOf" srcId="{368EA334-CDD4-4179-9F6D-1E0DC00E9837}" destId="{A373FD19-C8A5-46E6-8D1E-CA403FFF97BE}" srcOrd="2" destOrd="0" presId="urn:microsoft.com/office/officeart/2005/8/layout/radial1"/>
    <dgm:cxn modelId="{DBCA4C9F-1AF5-41CB-ADE8-EBC02F13B4D8}" type="presParOf" srcId="{368EA334-CDD4-4179-9F6D-1E0DC00E9837}" destId="{B5AD99F0-A882-42B5-9D75-BC5D4C22ECD5}" srcOrd="3" destOrd="0" presId="urn:microsoft.com/office/officeart/2005/8/layout/radial1"/>
    <dgm:cxn modelId="{3BD06B86-EECE-4A96-ABE2-FC5946CBDADE}" type="presParOf" srcId="{B5AD99F0-A882-42B5-9D75-BC5D4C22ECD5}" destId="{AEEF4E0E-CDF7-407D-881B-9A97DCA11AEA}" srcOrd="0" destOrd="0" presId="urn:microsoft.com/office/officeart/2005/8/layout/radial1"/>
    <dgm:cxn modelId="{707EB432-8DAE-471D-B90B-550234978D6A}" type="presParOf" srcId="{368EA334-CDD4-4179-9F6D-1E0DC00E9837}" destId="{F7E8035B-7A65-4E47-A7D6-086246CF00E5}" srcOrd="4" destOrd="0" presId="urn:microsoft.com/office/officeart/2005/8/layout/radial1"/>
    <dgm:cxn modelId="{8E2BF27B-FC05-4F69-ACE9-CA7280BF64DC}" type="presParOf" srcId="{368EA334-CDD4-4179-9F6D-1E0DC00E9837}" destId="{94C38A65-0308-48D1-BC01-D5DEE3107A71}" srcOrd="5" destOrd="0" presId="urn:microsoft.com/office/officeart/2005/8/layout/radial1"/>
    <dgm:cxn modelId="{2F879D7A-96EC-4F46-AFBC-58F0BB724B4C}" type="presParOf" srcId="{94C38A65-0308-48D1-BC01-D5DEE3107A71}" destId="{FA74A1D7-240F-4635-B93D-432D5160BA9D}" srcOrd="0" destOrd="0" presId="urn:microsoft.com/office/officeart/2005/8/layout/radial1"/>
    <dgm:cxn modelId="{3C82100E-70C2-494D-BC8B-492018780ACE}" type="presParOf" srcId="{368EA334-CDD4-4179-9F6D-1E0DC00E9837}" destId="{F0C8992E-5FA5-4F5D-B15A-419CFC41B13C}" srcOrd="6" destOrd="0" presId="urn:microsoft.com/office/officeart/2005/8/layout/radial1"/>
    <dgm:cxn modelId="{17D41799-F356-4910-9B51-8BBD0C8489FD}" type="presParOf" srcId="{368EA334-CDD4-4179-9F6D-1E0DC00E9837}" destId="{1A7162FD-12D4-4144-90AA-42439A9234BE}" srcOrd="7" destOrd="0" presId="urn:microsoft.com/office/officeart/2005/8/layout/radial1"/>
    <dgm:cxn modelId="{8D074A4E-65C9-4133-AFC6-6B4CB6338532}" type="presParOf" srcId="{1A7162FD-12D4-4144-90AA-42439A9234BE}" destId="{04EA195D-B4CB-4241-BBCA-988A005A796E}" srcOrd="0" destOrd="0" presId="urn:microsoft.com/office/officeart/2005/8/layout/radial1"/>
    <dgm:cxn modelId="{07C55EEF-C61F-4C88-90AD-576FDF8C6643}" type="presParOf" srcId="{368EA334-CDD4-4179-9F6D-1E0DC00E9837}" destId="{007D4722-AB60-4AD8-871A-723DB8DFB431}" srcOrd="8" destOrd="0" presId="urn:microsoft.com/office/officeart/2005/8/layout/radial1"/>
    <dgm:cxn modelId="{C222066F-423C-472F-814C-FC3BA07B04CD}" type="presParOf" srcId="{368EA334-CDD4-4179-9F6D-1E0DC00E9837}" destId="{5F79022B-B50D-4D30-ABA6-431FF3E88703}" srcOrd="9" destOrd="0" presId="urn:microsoft.com/office/officeart/2005/8/layout/radial1"/>
    <dgm:cxn modelId="{B17D03B8-D3B1-42D4-B188-0674010873F2}" type="presParOf" srcId="{5F79022B-B50D-4D30-ABA6-431FF3E88703}" destId="{D998F4F4-02EA-4283-80BF-135F868DAF3E}" srcOrd="0" destOrd="0" presId="urn:microsoft.com/office/officeart/2005/8/layout/radial1"/>
    <dgm:cxn modelId="{7A544654-390F-4AB9-AADF-6B5FE2152DA2}" type="presParOf" srcId="{368EA334-CDD4-4179-9F6D-1E0DC00E9837}" destId="{12B70505-9982-4EFA-889F-E60104386FE4}" srcOrd="10" destOrd="0" presId="urn:microsoft.com/office/officeart/2005/8/layout/radial1"/>
    <dgm:cxn modelId="{C9D721C6-F4FD-4213-8990-CEBAA0B8ABAF}" type="presParOf" srcId="{368EA334-CDD4-4179-9F6D-1E0DC00E9837}" destId="{6E838C50-999B-4BC8-B929-91B8123910D9}" srcOrd="11" destOrd="0" presId="urn:microsoft.com/office/officeart/2005/8/layout/radial1"/>
    <dgm:cxn modelId="{D0B28DE0-18D0-4B50-873C-B61867E6A3BF}" type="presParOf" srcId="{6E838C50-999B-4BC8-B929-91B8123910D9}" destId="{8725D2FC-C01D-4BA0-93C0-423EAFE1BC1C}" srcOrd="0" destOrd="0" presId="urn:microsoft.com/office/officeart/2005/8/layout/radial1"/>
    <dgm:cxn modelId="{B1EEBCFA-0AB4-456D-B360-72DE0A965234}" type="presParOf" srcId="{368EA334-CDD4-4179-9F6D-1E0DC00E9837}" destId="{EE801D53-C17A-466F-953B-ECA4F41FD355}" srcOrd="12" destOrd="0" presId="urn:microsoft.com/office/officeart/2005/8/layout/radial1"/>
    <dgm:cxn modelId="{948F0DC9-F661-45EC-B6C2-33944A4648DA}" type="presParOf" srcId="{368EA334-CDD4-4179-9F6D-1E0DC00E9837}" destId="{8A978E09-8E0E-465F-837D-F3FB2878E6E1}" srcOrd="13" destOrd="0" presId="urn:microsoft.com/office/officeart/2005/8/layout/radial1"/>
    <dgm:cxn modelId="{0F1C1A96-D25A-4D10-8F38-C6FC97A30472}" type="presParOf" srcId="{8A978E09-8E0E-465F-837D-F3FB2878E6E1}" destId="{507329A6-95FC-446B-9690-693697BF7DB6}" srcOrd="0" destOrd="0" presId="urn:microsoft.com/office/officeart/2005/8/layout/radial1"/>
    <dgm:cxn modelId="{45B78198-F916-4616-A3D2-C8756A57A203}" type="presParOf" srcId="{368EA334-CDD4-4179-9F6D-1E0DC00E9837}" destId="{CBE8CD14-E577-4617-9A13-91B415FCF4BF}" srcOrd="14" destOrd="0" presId="urn:microsoft.com/office/officeart/2005/8/layout/radial1"/>
    <dgm:cxn modelId="{8F7917A6-1F6B-4B10-8530-776F8CBF69F3}" type="presParOf" srcId="{368EA334-CDD4-4179-9F6D-1E0DC00E9837}" destId="{8292B4BA-BB41-4A15-9A6B-06613EC1C154}" srcOrd="15" destOrd="0" presId="urn:microsoft.com/office/officeart/2005/8/layout/radial1"/>
    <dgm:cxn modelId="{B26C1568-19AE-490E-BD05-EC912D5352DA}" type="presParOf" srcId="{8292B4BA-BB41-4A15-9A6B-06613EC1C154}" destId="{03A908FC-3ACC-4A64-8D4C-098F7E321C83}" srcOrd="0" destOrd="0" presId="urn:microsoft.com/office/officeart/2005/8/layout/radial1"/>
    <dgm:cxn modelId="{3DB3F2BF-DF56-4A31-958C-F125D6FADAEB}" type="presParOf" srcId="{368EA334-CDD4-4179-9F6D-1E0DC00E9837}" destId="{5A4D9C65-8D4A-4392-B137-A9EFB9FFACD7}" srcOrd="16" destOrd="0" presId="urn:microsoft.com/office/officeart/2005/8/layout/radial1"/>
    <dgm:cxn modelId="{E6ABDB96-FAD2-4933-9BD0-6A28733403A4}" type="presParOf" srcId="{368EA334-CDD4-4179-9F6D-1E0DC00E9837}" destId="{CB918390-8AFE-45D0-8E24-CCF355CBC051}" srcOrd="17" destOrd="0" presId="urn:microsoft.com/office/officeart/2005/8/layout/radial1"/>
    <dgm:cxn modelId="{0D8707DC-8625-4AF0-9ABA-358A84AD00D0}" type="presParOf" srcId="{CB918390-8AFE-45D0-8E24-CCF355CBC051}" destId="{E608FC2F-E9F3-41A8-8F43-B9E761BE6DBE}" srcOrd="0" destOrd="0" presId="urn:microsoft.com/office/officeart/2005/8/layout/radial1"/>
    <dgm:cxn modelId="{F553CB79-F416-4E20-824C-4D518A4E4EB9}" type="presParOf" srcId="{368EA334-CDD4-4179-9F6D-1E0DC00E9837}" destId="{14ABDA29-8476-43C7-A321-C5A7978FB09B}" srcOrd="18"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B78F4F-CFC5-48F8-BFA9-F1D909205212}">
      <dsp:nvSpPr>
        <dsp:cNvPr id="0" name=""/>
        <dsp:cNvSpPr/>
      </dsp:nvSpPr>
      <dsp:spPr>
        <a:xfrm>
          <a:off x="2126482" y="1392497"/>
          <a:ext cx="1473019" cy="7439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Times New Roman" pitchFamily="18" charset="0"/>
            </a:rPr>
            <a:t>ҮР ДҮНТЭЙ БАГШ</a:t>
          </a:r>
          <a:endParaRPr lang="en-US" sz="900" b="1" kern="1200">
            <a:latin typeface="+mn-lt"/>
            <a:cs typeface="Times New Roman" pitchFamily="18" charset="0"/>
          </a:endParaRPr>
        </a:p>
      </dsp:txBody>
      <dsp:txXfrm>
        <a:off x="2342201" y="1501445"/>
        <a:ext cx="1041581" cy="526045"/>
      </dsp:txXfrm>
    </dsp:sp>
    <dsp:sp modelId="{26132D65-123C-494F-8912-32D50BF0C600}">
      <dsp:nvSpPr>
        <dsp:cNvPr id="0" name=""/>
        <dsp:cNvSpPr/>
      </dsp:nvSpPr>
      <dsp:spPr>
        <a:xfrm rot="16449363">
          <a:off x="2577113" y="1044459"/>
          <a:ext cx="674674" cy="23675"/>
        </a:xfrm>
        <a:custGeom>
          <a:avLst/>
          <a:gdLst/>
          <a:ahLst/>
          <a:cxnLst/>
          <a:rect l="0" t="0" r="0" b="0"/>
          <a:pathLst>
            <a:path>
              <a:moveTo>
                <a:pt x="0" y="11837"/>
              </a:moveTo>
              <a:lnTo>
                <a:pt x="674674"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a:off x="2897583" y="1039431"/>
        <a:ext cx="33733" cy="33733"/>
      </dsp:txXfrm>
    </dsp:sp>
    <dsp:sp modelId="{A373FD19-C8A5-46E6-8D1E-CA403FFF97BE}">
      <dsp:nvSpPr>
        <dsp:cNvPr id="0" name=""/>
        <dsp:cNvSpPr/>
      </dsp:nvSpPr>
      <dsp:spPr>
        <a:xfrm>
          <a:off x="2248350" y="-23830"/>
          <a:ext cx="1435115" cy="743941"/>
        </a:xfrm>
        <a:prstGeom prst="ellipse">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нийгэм дэх багшийн нэр хүнд, өөрийн сонирхол </a:t>
          </a:r>
          <a:endParaRPr lang="en-US" sz="900" b="1" kern="1200">
            <a:latin typeface="+mn-lt"/>
            <a:cs typeface="Arial" panose="020B0604020202020204" pitchFamily="34" charset="0"/>
          </a:endParaRPr>
        </a:p>
      </dsp:txBody>
      <dsp:txXfrm>
        <a:off x="2458518" y="85118"/>
        <a:ext cx="1014779" cy="526045"/>
      </dsp:txXfrm>
    </dsp:sp>
    <dsp:sp modelId="{B5AD99F0-A882-42B5-9D75-BC5D4C22ECD5}">
      <dsp:nvSpPr>
        <dsp:cNvPr id="0" name=""/>
        <dsp:cNvSpPr/>
      </dsp:nvSpPr>
      <dsp:spPr>
        <a:xfrm rot="19323264">
          <a:off x="3192300" y="1233679"/>
          <a:ext cx="672440" cy="23675"/>
        </a:xfrm>
        <a:custGeom>
          <a:avLst/>
          <a:gdLst/>
          <a:ahLst/>
          <a:cxnLst/>
          <a:rect l="0" t="0" r="0" b="0"/>
          <a:pathLst>
            <a:path>
              <a:moveTo>
                <a:pt x="0" y="11837"/>
              </a:moveTo>
              <a:lnTo>
                <a:pt x="672440"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a:off x="3511709" y="1228706"/>
        <a:ext cx="33622" cy="33622"/>
      </dsp:txXfrm>
    </dsp:sp>
    <dsp:sp modelId="{F7E8035B-7A65-4E47-A7D6-086246CF00E5}">
      <dsp:nvSpPr>
        <dsp:cNvPr id="0" name=""/>
        <dsp:cNvSpPr/>
      </dsp:nvSpPr>
      <dsp:spPr>
        <a:xfrm>
          <a:off x="3455620" y="354310"/>
          <a:ext cx="1477586" cy="743941"/>
        </a:xfrm>
        <a:prstGeom prst="ellipse">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цалингийн ялгаа, хэлбэр</a:t>
          </a:r>
          <a:endParaRPr lang="en-US" sz="900" b="1" kern="1200">
            <a:latin typeface="+mn-lt"/>
            <a:cs typeface="Arial" panose="020B0604020202020204" pitchFamily="34" charset="0"/>
          </a:endParaRPr>
        </a:p>
      </dsp:txBody>
      <dsp:txXfrm>
        <a:off x="3672007" y="463258"/>
        <a:ext cx="1044812" cy="526045"/>
      </dsp:txXfrm>
    </dsp:sp>
    <dsp:sp modelId="{94C38A65-0308-48D1-BC01-D5DEE3107A71}">
      <dsp:nvSpPr>
        <dsp:cNvPr id="0" name=""/>
        <dsp:cNvSpPr/>
      </dsp:nvSpPr>
      <dsp:spPr>
        <a:xfrm rot="21045912">
          <a:off x="3563546" y="1632184"/>
          <a:ext cx="80497" cy="23675"/>
        </a:xfrm>
        <a:custGeom>
          <a:avLst/>
          <a:gdLst/>
          <a:ahLst/>
          <a:cxnLst/>
          <a:rect l="0" t="0" r="0" b="0"/>
          <a:pathLst>
            <a:path>
              <a:moveTo>
                <a:pt x="0" y="11837"/>
              </a:moveTo>
              <a:lnTo>
                <a:pt x="80497"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a:off x="3601782" y="1642010"/>
        <a:ext cx="4024" cy="4024"/>
      </dsp:txXfrm>
    </dsp:sp>
    <dsp:sp modelId="{F0C8992E-5FA5-4F5D-B15A-419CFC41B13C}">
      <dsp:nvSpPr>
        <dsp:cNvPr id="0" name=""/>
        <dsp:cNvSpPr/>
      </dsp:nvSpPr>
      <dsp:spPr>
        <a:xfrm>
          <a:off x="3614115" y="1158167"/>
          <a:ext cx="1380257" cy="743941"/>
        </a:xfrm>
        <a:prstGeom prst="ellipse">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ажлын байрны тогтвортой байдал</a:t>
          </a:r>
          <a:endParaRPr lang="en-US" sz="900" b="1" kern="1200">
            <a:latin typeface="+mn-lt"/>
            <a:cs typeface="Arial" panose="020B0604020202020204" pitchFamily="34" charset="0"/>
          </a:endParaRPr>
        </a:p>
      </dsp:txBody>
      <dsp:txXfrm>
        <a:off x="3816249" y="1267115"/>
        <a:ext cx="975989" cy="526045"/>
      </dsp:txXfrm>
    </dsp:sp>
    <dsp:sp modelId="{1A7162FD-12D4-4144-90AA-42439A9234BE}">
      <dsp:nvSpPr>
        <dsp:cNvPr id="0" name=""/>
        <dsp:cNvSpPr/>
      </dsp:nvSpPr>
      <dsp:spPr>
        <a:xfrm rot="1327452">
          <a:off x="3426171" y="2039800"/>
          <a:ext cx="286356" cy="23675"/>
        </a:xfrm>
        <a:custGeom>
          <a:avLst/>
          <a:gdLst/>
          <a:ahLst/>
          <a:cxnLst/>
          <a:rect l="0" t="0" r="0" b="0"/>
          <a:pathLst>
            <a:path>
              <a:moveTo>
                <a:pt x="0" y="11837"/>
              </a:moveTo>
              <a:lnTo>
                <a:pt x="286356"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a:off x="3562190" y="2044479"/>
        <a:ext cx="14317" cy="14317"/>
      </dsp:txXfrm>
    </dsp:sp>
    <dsp:sp modelId="{007D4722-AB60-4AD8-871A-723DB8DFB431}">
      <dsp:nvSpPr>
        <dsp:cNvPr id="0" name=""/>
        <dsp:cNvSpPr/>
      </dsp:nvSpPr>
      <dsp:spPr>
        <a:xfrm>
          <a:off x="3509837" y="1976716"/>
          <a:ext cx="1580340" cy="743941"/>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мэргэжлийн өсөн дэвжих боломж</a:t>
          </a:r>
          <a:endParaRPr lang="en-US" sz="900" b="1" kern="1200">
            <a:latin typeface="+mn-lt"/>
            <a:cs typeface="Arial" panose="020B0604020202020204" pitchFamily="34" charset="0"/>
          </a:endParaRPr>
        </a:p>
      </dsp:txBody>
      <dsp:txXfrm>
        <a:off x="3741272" y="2085664"/>
        <a:ext cx="1117470" cy="526045"/>
      </dsp:txXfrm>
    </dsp:sp>
    <dsp:sp modelId="{5F79022B-B50D-4D30-ABA6-431FF3E88703}">
      <dsp:nvSpPr>
        <dsp:cNvPr id="0" name=""/>
        <dsp:cNvSpPr/>
      </dsp:nvSpPr>
      <dsp:spPr>
        <a:xfrm rot="3540438">
          <a:off x="2887196" y="2443668"/>
          <a:ext cx="781785" cy="23675"/>
        </a:xfrm>
        <a:custGeom>
          <a:avLst/>
          <a:gdLst/>
          <a:ahLst/>
          <a:cxnLst/>
          <a:rect l="0" t="0" r="0" b="0"/>
          <a:pathLst>
            <a:path>
              <a:moveTo>
                <a:pt x="0" y="11837"/>
              </a:moveTo>
              <a:lnTo>
                <a:pt x="781785"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a:off x="3258544" y="2435961"/>
        <a:ext cx="39089" cy="39089"/>
      </dsp:txXfrm>
    </dsp:sp>
    <dsp:sp modelId="{12B70505-9982-4EFA-889F-E60104386FE4}">
      <dsp:nvSpPr>
        <dsp:cNvPr id="0" name=""/>
        <dsp:cNvSpPr/>
      </dsp:nvSpPr>
      <dsp:spPr>
        <a:xfrm>
          <a:off x="2940469" y="2775228"/>
          <a:ext cx="1506221" cy="743941"/>
        </a:xfrm>
        <a:prstGeom prst="ellipse">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тэтгэвэр тэтгэмж</a:t>
          </a:r>
          <a:endParaRPr lang="en-US" sz="900" b="1" kern="1200">
            <a:latin typeface="+mn-lt"/>
            <a:cs typeface="Arial" panose="020B0604020202020204" pitchFamily="34" charset="0"/>
          </a:endParaRPr>
        </a:p>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 нийгмийн баталгаа</a:t>
          </a:r>
          <a:endParaRPr lang="en-US" sz="900" b="1" kern="1200">
            <a:latin typeface="+mn-lt"/>
            <a:cs typeface="Arial" panose="020B0604020202020204" pitchFamily="34" charset="0"/>
          </a:endParaRPr>
        </a:p>
      </dsp:txBody>
      <dsp:txXfrm>
        <a:off x="3161050" y="2884176"/>
        <a:ext cx="1065059" cy="526045"/>
      </dsp:txXfrm>
    </dsp:sp>
    <dsp:sp modelId="{6E838C50-999B-4BC8-B929-91B8123910D9}">
      <dsp:nvSpPr>
        <dsp:cNvPr id="0" name=""/>
        <dsp:cNvSpPr/>
      </dsp:nvSpPr>
      <dsp:spPr>
        <a:xfrm rot="7453690">
          <a:off x="2097933" y="2382611"/>
          <a:ext cx="672941" cy="23675"/>
        </a:xfrm>
        <a:custGeom>
          <a:avLst/>
          <a:gdLst/>
          <a:ahLst/>
          <a:cxnLst/>
          <a:rect l="0" t="0" r="0" b="0"/>
          <a:pathLst>
            <a:path>
              <a:moveTo>
                <a:pt x="0" y="11837"/>
              </a:moveTo>
              <a:lnTo>
                <a:pt x="672941"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rot="10800000">
        <a:off x="2417581" y="2377625"/>
        <a:ext cx="33647" cy="33647"/>
      </dsp:txXfrm>
    </dsp:sp>
    <dsp:sp modelId="{EE801D53-C17A-466F-953B-ECA4F41FD355}">
      <dsp:nvSpPr>
        <dsp:cNvPr id="0" name=""/>
        <dsp:cNvSpPr/>
      </dsp:nvSpPr>
      <dsp:spPr>
        <a:xfrm>
          <a:off x="1082750" y="2647763"/>
          <a:ext cx="1749594" cy="895236"/>
        </a:xfrm>
        <a:prstGeom prst="ellips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mn-MN" sz="800" b="1" kern="1200">
              <a:latin typeface="+mn-lt"/>
              <a:cs typeface="Arial" panose="020B0604020202020204" pitchFamily="34" charset="0"/>
            </a:rPr>
            <a:t>Орчин,  сургалтын материаллаг хангамж</a:t>
          </a:r>
          <a:endParaRPr lang="en-US" sz="800" b="1" kern="1200">
            <a:latin typeface="+mn-lt"/>
            <a:cs typeface="Arial" panose="020B0604020202020204" pitchFamily="34" charset="0"/>
          </a:endParaRPr>
        </a:p>
      </dsp:txBody>
      <dsp:txXfrm>
        <a:off x="1338972" y="2778867"/>
        <a:ext cx="1237150" cy="633028"/>
      </dsp:txXfrm>
    </dsp:sp>
    <dsp:sp modelId="{8A978E09-8E0E-465F-837D-F3FB2878E6E1}">
      <dsp:nvSpPr>
        <dsp:cNvPr id="0" name=""/>
        <dsp:cNvSpPr/>
      </dsp:nvSpPr>
      <dsp:spPr>
        <a:xfrm rot="9558564">
          <a:off x="2060824" y="2014159"/>
          <a:ext cx="219417" cy="23675"/>
        </a:xfrm>
        <a:custGeom>
          <a:avLst/>
          <a:gdLst/>
          <a:ahLst/>
          <a:cxnLst/>
          <a:rect l="0" t="0" r="0" b="0"/>
          <a:pathLst>
            <a:path>
              <a:moveTo>
                <a:pt x="0" y="11837"/>
              </a:moveTo>
              <a:lnTo>
                <a:pt x="219417"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rot="10800000">
        <a:off x="2165047" y="2020511"/>
        <a:ext cx="10970" cy="10970"/>
      </dsp:txXfrm>
    </dsp:sp>
    <dsp:sp modelId="{CBE8CD14-E577-4617-9A13-91B415FCF4BF}">
      <dsp:nvSpPr>
        <dsp:cNvPr id="0" name=""/>
        <dsp:cNvSpPr/>
      </dsp:nvSpPr>
      <dsp:spPr>
        <a:xfrm>
          <a:off x="683222" y="1922891"/>
          <a:ext cx="1550850" cy="743941"/>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b="1" kern="1200">
              <a:latin typeface="+mn-lt"/>
              <a:cs typeface="Arial" panose="020B0604020202020204" pitchFamily="34" charset="0"/>
            </a:rPr>
            <a:t>дадлага туршлага</a:t>
          </a:r>
          <a:endParaRPr lang="en-US" sz="1050" b="1" kern="1200">
            <a:latin typeface="+mn-lt"/>
            <a:cs typeface="Arial" panose="020B0604020202020204" pitchFamily="34" charset="0"/>
          </a:endParaRPr>
        </a:p>
      </dsp:txBody>
      <dsp:txXfrm>
        <a:off x="910339" y="2031839"/>
        <a:ext cx="1096616" cy="526045"/>
      </dsp:txXfrm>
    </dsp:sp>
    <dsp:sp modelId="{8292B4BA-BB41-4A15-9A6B-06613EC1C154}">
      <dsp:nvSpPr>
        <dsp:cNvPr id="0" name=""/>
        <dsp:cNvSpPr/>
      </dsp:nvSpPr>
      <dsp:spPr>
        <a:xfrm rot="600000">
          <a:off x="2167521" y="1631405"/>
          <a:ext cx="15932" cy="23675"/>
        </a:xfrm>
        <a:custGeom>
          <a:avLst/>
          <a:gdLst/>
          <a:ahLst/>
          <a:cxnLst/>
          <a:rect l="0" t="0" r="0" b="0"/>
          <a:pathLst>
            <a:path>
              <a:moveTo>
                <a:pt x="0" y="11837"/>
              </a:moveTo>
              <a:lnTo>
                <a:pt x="15932"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a:off x="2175089" y="1642844"/>
        <a:ext cx="796" cy="796"/>
      </dsp:txXfrm>
    </dsp:sp>
    <dsp:sp modelId="{5A4D9C65-8D4A-4392-B137-A9EFB9FFACD7}">
      <dsp:nvSpPr>
        <dsp:cNvPr id="0" name=""/>
        <dsp:cNvSpPr/>
      </dsp:nvSpPr>
      <dsp:spPr>
        <a:xfrm>
          <a:off x="708013" y="1146555"/>
          <a:ext cx="1520333" cy="743941"/>
        </a:xfrm>
        <a:prstGeom prst="ellipse">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эцэг эх гэр бүлийн шаардлага, харилцаа холбоо</a:t>
          </a:r>
          <a:endParaRPr lang="en-US" sz="900" b="1" kern="1200">
            <a:latin typeface="+mn-lt"/>
            <a:cs typeface="Arial" panose="020B0604020202020204" pitchFamily="34" charset="0"/>
          </a:endParaRPr>
        </a:p>
      </dsp:txBody>
      <dsp:txXfrm>
        <a:off x="930661" y="1255503"/>
        <a:ext cx="1075037" cy="526045"/>
      </dsp:txXfrm>
    </dsp:sp>
    <dsp:sp modelId="{CB918390-8AFE-45D0-8E24-CCF355CBC051}">
      <dsp:nvSpPr>
        <dsp:cNvPr id="0" name=""/>
        <dsp:cNvSpPr/>
      </dsp:nvSpPr>
      <dsp:spPr>
        <a:xfrm rot="13087356">
          <a:off x="1928315" y="1254610"/>
          <a:ext cx="600085" cy="23675"/>
        </a:xfrm>
        <a:custGeom>
          <a:avLst/>
          <a:gdLst/>
          <a:ahLst/>
          <a:cxnLst/>
          <a:rect l="0" t="0" r="0" b="0"/>
          <a:pathLst>
            <a:path>
              <a:moveTo>
                <a:pt x="0" y="11837"/>
              </a:moveTo>
              <a:lnTo>
                <a:pt x="600085" y="118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US" sz="400" kern="1200">
            <a:latin typeface="+mn-lt"/>
          </a:endParaRPr>
        </a:p>
      </dsp:txBody>
      <dsp:txXfrm rot="10800000">
        <a:off x="2213356" y="1251446"/>
        <a:ext cx="30004" cy="30004"/>
      </dsp:txXfrm>
    </dsp:sp>
    <dsp:sp modelId="{14ABDA29-8476-43C7-A321-C5A7978FB09B}">
      <dsp:nvSpPr>
        <dsp:cNvPr id="0" name=""/>
        <dsp:cNvSpPr/>
      </dsp:nvSpPr>
      <dsp:spPr>
        <a:xfrm>
          <a:off x="810921" y="391726"/>
          <a:ext cx="1553550" cy="743941"/>
        </a:xfrm>
        <a:prstGeom prst="ellipse">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b="1" kern="1200">
              <a:latin typeface="+mn-lt"/>
              <a:cs typeface="Arial" panose="020B0604020202020204" pitchFamily="34" charset="0"/>
            </a:rPr>
            <a:t>мэргэжилдээ сэтгэл хангалуун байдал</a:t>
          </a:r>
          <a:endParaRPr lang="en-US" sz="900" b="1" kern="1200">
            <a:latin typeface="+mn-lt"/>
            <a:cs typeface="Arial" panose="020B0604020202020204" pitchFamily="34" charset="0"/>
          </a:endParaRPr>
        </a:p>
      </dsp:txBody>
      <dsp:txXfrm>
        <a:off x="1038433" y="500674"/>
        <a:ext cx="1098526" cy="5260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Дав12</b:Tag>
    <b:SourceType>Report</b:SourceType>
    <b:Guid>{269E5948-F676-4512-ACA7-AC95D8C065A1}</b:Guid>
    <b:Author>
      <b:Author>
        <b:Corporate>Даваа Ж,  ба бусад</b:Corporate>
      </b:Author>
    </b:Author>
    <b:Title>Их дээд сургууль, коллежийн багшийн хөгжлийн судалгаа</b:Title>
    <b:Year>2012</b:Year>
    <b:City>УБ</b:City>
    <b:RefOrder>12</b:RefOrder>
  </b:Source>
  <b:Source>
    <b:Tag>Бай091</b:Tag>
    <b:SourceType>Book</b:SourceType>
    <b:Guid>{DCEB5992-102D-4508-AE3B-CFF86478C551}</b:Guid>
    <b:Title>Багшийн хөгжлийн практик</b:Title>
    <b:Year>2009</b:Year>
    <b:City>УБ</b:City>
    <b:Author>
      <b:Author>
        <b:Corporate> Байгальмаа Ч</b:Corporate>
      </b:Author>
    </b:Author>
    <b:RefOrder>13</b:RefOrder>
  </b:Source>
  <b:Source>
    <b:Tag>ЯОт151</b:Tag>
    <b:SourceType>JournalArticle</b:SourceType>
    <b:Guid>{4DBE63E6-EF6D-461E-9C60-3A9142172028}</b:Guid>
    <b:Author>
      <b:Author>
        <b:Corporate>Я.Отгонбаяр</b:Corporate>
      </b:Author>
    </b:Author>
    <b:Title>Их, дээд сургуулийн багшийн хөгжлийн социологийн шинжилгээ</b:Title>
    <b:JournalName>докторын диссертаци</b:JournalName>
    <b:Year>2015</b:Year>
    <b:RefOrder>14</b:RefOrder>
  </b:Source>
  <b:Source>
    <b:Tag>Emi05</b:Tag>
    <b:SourceType>Book</b:SourceType>
    <b:Guid>{F787A084-8E53-442A-AAC1-B97CA2394EFD}</b:Guid>
    <b:Title>Incenrives to improve teaching:Lessons from Latin America</b:Title>
    <b:Year>2005</b:Year>
    <b:City>New York</b:City>
    <b:Author>
      <b:Author>
        <b:Corporate>Emiliana Vegas, Ilana Umansky</b:Corporate>
      </b:Author>
    </b:Author>
    <b:RefOrder>15</b:RefOrder>
  </b:Source>
  <b:Source>
    <b:Tag>Нар12</b:Tag>
    <b:SourceType>Book</b:SourceType>
    <b:Guid>{77862595-C173-487A-A7F3-48713A6B6539}</b:Guid>
    <b:Title>Боловсролын удирдлага</b:Title>
    <b:Year>2012</b:Year>
    <b:Author>
      <b:Author>
        <b:Corporate>Нарантуяа Н</b:Corporate>
      </b:Author>
    </b:Author>
    <b:City>УБ</b:City>
    <b:RefOrder>16</b:RefOrder>
  </b:Source>
  <b:Source>
    <b:Tag>fac13</b:Tag>
    <b:SourceType>InternetSite</b:SourceType>
    <b:Guid>{DEA78217-9FAF-48D4-9DB3-457287613916}</b:Guid>
    <b:Title>http://facultyaffairs.colorada.edufaculty-titles</b:Title>
    <b:Author>
      <b:Author>
        <b:Corporate>Coloradо</b:Corporate>
      </b:Author>
    </b:Author>
    <b:Year>2013</b:Year>
    <b:RefOrder>17</b:RefOrder>
  </b:Source>
  <b:Source>
    <b:Tag>Аки12</b:Tag>
    <b:SourceType>InternetSite</b:SourceType>
    <b:Guid>{F4FA5274-5A65-4731-8E29-A463AEF5965F}</b:Guid>
    <b:Title>Reaction to academic ranking in Japanies.</b:Title>
    <b:Year>2012</b:Year>
    <b:Author>
      <b:Author>
        <b:Corporate>Акиро Аримото</b:Corporate>
      </b:Author>
    </b:Author>
    <b:JournalName>Journal of education in Japanies</b:JournalName>
    <b:Pages>From. URL: http:/www. Researchgate.net/publication/ 226816799</b:Pages>
    <b:URL>From. URL: http:/www. Researchgate.net/publication/ 226816799</b:URL>
    <b:RefOrder>18</b:RefOrder>
  </b:Source>
  <b:Source>
    <b:Tag>Car06</b:Tag>
    <b:SourceType>InternetSite</b:SourceType>
    <b:Guid>{8E433257-3C75-4A91-BDF4-601F19FCCDAF}</b:Guid>
    <b:Author>
      <b:Author>
        <b:Corporate>Carnegie </b:Corporate>
      </b:Author>
    </b:Author>
    <b:Year>2006</b:Year>
    <b:Month>12</b:Month>
    <b:Day>04</b:Day>
    <b:URL>http:/www.carnegie foundation.org/classification of higher education.</b:URL>
    <b:RefOrder>19</b:RefOrder>
  </b:Source>
  <b:Source>
    <b:Tag>Jun11</b:Tag>
    <b:SourceType>JournalArticle</b:SourceType>
    <b:Guid>{1A24B932-2CFF-49BC-905C-53A2A86B1309}</b:Guid>
    <b:Title>  Design and development of a Teaching Assesstment system for improving Teaching skill  in u-Cumpus.    </b:Title>
    <b:Year>2011</b:Year>
    <b:Author>
      <b:Author>
        <b:Corporate>Jung-Hwan Park, Chang-Bae Moon</b:Corporate>
      </b:Author>
    </b:Author>
    <b:JournalName>Journal of the Korea Academia-industral cooperation society</b:JournalName>
    <b:Pages>Vol 12. No 5 pp.2124-2132</b:Pages>
    <b:RefOrder>20</b:RefOrder>
  </b:Source>
  <b:Source>
    <b:Tag>Min58</b:Tag>
    <b:SourceType>JournalArticle</b:SourceType>
    <b:Guid>{98DD70E5-6FCF-433F-88E7-ED977164EFD8}</b:Guid>
    <b:Author>
      <b:Author>
        <b:NameList>
          <b:Person>
            <b:Last>Mincer</b:Last>
            <b:First>J.</b:First>
          </b:Person>
        </b:NameList>
      </b:Author>
    </b:Author>
    <b:Title>Investment in Human Capital and Personal Income Distribution</b:Title>
    <b:JournalName>Journal of Political Economy</b:JournalName>
    <b:Year>1958</b:Year>
    <b:Pages>66 (4): 281-302</b:Pages>
    <b:RefOrder>1</b:RefOrder>
  </b:Source>
  <b:Source>
    <b:Tag>Cla14</b:Tag>
    <b:SourceType>Report</b:SourceType>
    <b:Guid>{A4A172F0-2359-461A-A850-D44A30CF1815}</b:Guid>
    <b:Author>
      <b:Author>
        <b:NameList>
          <b:Person>
            <b:Last>Claudio</b:Last>
            <b:First>Montenegro</b:First>
          </b:Person>
          <b:Person>
            <b:Last>Patrinos</b:Last>
            <b:First>Harry</b:First>
          </b:Person>
        </b:NameList>
      </b:Author>
    </b:Author>
    <b:Title>Comparable Estimates of Returns to Schooling Around the World</b:Title>
    <b:Year>2014</b:Year>
    <b:Publisher>World bank group</b:Publisher>
    <b:RefOrder>2</b:RefOrder>
  </b:Source>
  <b:Source>
    <b:Tag>Cri12</b:Tag>
    <b:SourceType>ArticleInAPeriodical</b:SourceType>
    <b:Guid>{6D6940EF-FD09-4FAF-8034-E752CCD71CA5}</b:Guid>
    <b:Author>
      <b:Author>
        <b:NameList>
          <b:Person>
            <b:Last>Crivellaro</b:Last>
            <b:First>E.</b:First>
          </b:Person>
        </b:NameList>
      </b:Author>
    </b:Author>
    <b:Title>Returns to college over time: trends in Europe in the last 15 years. Stuck on the puzzle</b:Title>
    <b:Year>2012</b:Year>
    <b:PeriodicalTitle>Working Paper No. 146. University of Padova</b:PeriodicalTitle>
    <b:LCID>uz-Cyrl-UZ</b:LCID>
    <b:RefOrder>3</b:RefOrder>
  </b:Source>
  <b:Source>
    <b:Tag>DLk14</b:Tag>
    <b:SourceType>JournalArticle</b:SourceType>
    <b:Guid>{C9C7E183-F3B3-42E8-AF1A-8273D0765894}</b:Guid>
    <b:Author>
      <b:Author>
        <b:NameList>
          <b:Person>
            <b:Last>Lkhagvasuren</b:Last>
            <b:First>D.</b:First>
          </b:Person>
        </b:NameList>
      </b:Author>
    </b:Author>
    <b:Title>Education, Mobility and the College Wage Premium</b:Title>
    <b:JournalName>European Economic Review</b:JournalName>
    <b:Year>2014</b:Year>
    <b:Pages>Vol 67: 159-173</b:Pages>
    <b:RefOrder>4</b:RefOrder>
  </b:Source>
  <b:Source>
    <b:Tag>Kru10</b:Tag>
    <b:SourceType>JournalArticle</b:SourceType>
    <b:Guid>{D0BFA0FA-410B-4538-9FDC-B6819882FA40}</b:Guid>
    <b:Author>
      <b:Author>
        <b:NameList>
          <b:Person>
            <b:Last>Krueger</b:Last>
            <b:First>D.,</b:First>
            <b:Middle>Perri, F., Pistaferri, L., Violante, G. L.</b:Middle>
          </b:Person>
        </b:NameList>
      </b:Author>
    </b:Author>
    <b:Title>Cross-sectional facts for macroeconomists</b:Title>
    <b:JournalName>Review of Economic Dynamics</b:JournalName>
    <b:Year>2010</b:Year>
    <b:Pages> 13 (1), 1–14.</b:Pages>
    <b:RefOrder>5</b:RefOrder>
  </b:Source>
  <b:Source>
    <b:Tag>Dah02</b:Tag>
    <b:SourceType>JournalArticle</b:SourceType>
    <b:Guid>{8E728595-7BCD-42A0-A934-553807D58481}</b:Guid>
    <b:Author>
      <b:Author>
        <b:NameList>
          <b:Person>
            <b:Last>Dahl</b:Last>
            <b:First>G.</b:First>
          </b:Person>
        </b:NameList>
      </b:Author>
    </b:Author>
    <b:Title>Mobility and the return to education: Testing a Roy model with multiple markets</b:Title>
    <b:JournalName>Econometrica</b:JournalName>
    <b:Year>2002</b:Year>
    <b:Pages>70 (6), 2367–2420</b:Pages>
    <b:RefOrder>6</b:RefOrder>
  </b:Source>
  <b:Source>
    <b:Tag>Mac12</b:Tag>
    <b:SourceType>JournalArticle</b:SourceType>
    <b:Guid>{33771EC9-4756-4D02-A103-410B58EDB437}</b:Guid>
    <b:Author>
      <b:Author>
        <b:NameList>
          <b:Person>
            <b:Last>Machin</b:Last>
            <b:First>S.,</b:First>
            <b:Middle>Pelkonen, P., Salvanes, K. G.</b:Middle>
          </b:Person>
        </b:NameList>
      </b:Author>
    </b:Author>
    <b:Title>Education and mobility</b:Title>
    <b:JournalName>Journal of the European Economic Association</b:JournalName>
    <b:Year>2012</b:Year>
    <b:Pages>10 (2), 1–15</b:Pages>
    <b:RefOrder>7</b:RefOrder>
  </b:Source>
  <b:Source>
    <b:Tag>Mal12</b:Tag>
    <b:SourceType>JournalArticle</b:SourceType>
    <b:Guid>{22AF06CA-8FC2-4C9C-8214-5A4A425D398E}</b:Guid>
    <b:Author>
      <b:Author>
        <b:NameList>
          <b:Person>
            <b:Last>Malamud</b:Last>
            <b:First>O.,</b:First>
            <b:Middle>Wozniak, A. K.</b:Middle>
          </b:Person>
        </b:NameList>
      </b:Author>
    </b:Author>
    <b:Title>The impact of college education on geographic mobility</b:Title>
    <b:JournalName>Journal of Human Resources</b:JournalName>
    <b:Year>2012</b:Year>
    <b:Pages> 47 (4), 913–950</b:Pages>
    <b:RefOrder>8</b:RefOrder>
  </b:Source>
  <b:Source>
    <b:Tag>Bil00</b:Tag>
    <b:SourceType>JournalArticle</b:SourceType>
    <b:Guid>{66D04888-1591-48DA-B625-208F8ED8C738}</b:Guid>
    <b:LCID>uz-Cyrl-UZ</b:LCID>
    <b:Author>
      <b:Author>
        <b:NameList>
          <b:Person>
            <b:Last>Bils</b:Last>
            <b:First>M</b:First>
          </b:Person>
          <b:Person>
            <b:Last>Klenow</b:Last>
            <b:First>P</b:First>
          </b:Person>
        </b:NameList>
      </b:Author>
    </b:Author>
    <b:Title>Does Schooling Cause Growth?</b:Title>
    <b:Year>2000</b:Year>
    <b:JournalName>American Economic Review</b:JournalName>
    <b:Pages>1160-1183</b:Pages>
    <b:Issue>5</b:Issue>
    <b:Volume>90</b:Volume>
    <b:RefOrder>9</b:RefOrder>
  </b:Source>
  <b:Source>
    <b:Tag>ИРИ15</b:Tag>
    <b:SourceType>Book</b:SourceType>
    <b:Guid>{95E5FBB6-FFE3-4598-8D85-CC1106F515C0}</b:Guid>
    <b:Author>
      <b:Author>
        <b:NameList>
          <b:Person>
            <b:Last>хүрээлэн</b:Last>
            <b:First>ИРИМ</b:First>
            <b:Middle>Хараат бус судалгааны</b:Middle>
          </b:Person>
        </b:NameList>
      </b:Author>
    </b:Author>
    <b:Title>Аж үйлдвэрийн салбарын хэрэгцээний үнэлгээ</b:Title>
    <b:Year>2015</b:Year>
    <b:City>Улаанбаатар</b:City>
    <b:RefOrder>10</b:RefOrder>
  </b:Source>
  <b:Source>
    <b:Tag>Дав15</b:Tag>
    <b:SourceType>Report</b:SourceType>
    <b:Guid>{12545B91-81A2-4780-B9B4-C8A7CAB5FB29}</b:Guid>
    <b:Title>Монгол улсын аж үйлдвэрийн салбаруудын технологийн түвшний үнэлгээ, технологийн бэлэн байдал</b:Title>
    <b:Year>2015</b:Year>
    <b:City>Улаанбаатар</b:City>
    <b:Publisher>Технологийн хөгжлийн хүрээлэн ТББ</b:Publisher>
    <b:Author>
      <b:Author>
        <b:NameList>
          <b:Person>
            <b:Last>Даваасүрэн</b:Last>
            <b:First>Б</b:First>
          </b:Person>
        </b:NameList>
      </b:Author>
    </b:Author>
    <b:RefOrder>11</b:RefOrder>
  </b:Source>
  <b:Source>
    <b:Tag>БСШ07</b:Tag>
    <b:SourceType>Book</b:SourceType>
    <b:Guid>{3E042EFF-6F5D-47D4-9478-60E4DDDD3394}</b:Guid>
    <b:Author>
      <b:Author>
        <b:NameList>
          <b:Person>
            <b:Last>БСШУ</b:Last>
          </b:Person>
        </b:NameList>
      </b:Author>
    </b:Author>
    <b:Title>Монгол Улсын Шинжлэх Ухаан, Технологийг 2007-2020 онд хөгжүүлэх мастер төлөвлөгөө</b:Title>
    <b:Year>2007</b:Year>
    <b:City>Улаанбаатар</b:City>
    <b:Publisher>Содпресс</b:Publisher>
    <b:RefOrder>21</b:RefOrder>
  </b:Source>
  <b:Source>
    <b:Tag>БСШ14</b:Tag>
    <b:SourceType>Book</b:SourceType>
    <b:Guid>{7A5A1E21-1A89-49E6-9134-9C301F8F9028}</b:Guid>
    <b:Author>
      <b:Author>
        <b:NameList>
          <b:Person>
            <b:Last>БСШУЯ</b:Last>
          </b:Person>
        </b:NameList>
      </b:Author>
    </b:Author>
    <b:Title>Эрдэм шинжилгээний байгууллагын дэргэд гарааны компани байгуулах журам</b:Title>
    <b:Year>2014</b:Year>
    <b:City>Улаанбаатар</b:City>
    <b:RefOrder>22</b:RefOrder>
  </b:Source>
  <b:Source>
    <b:Tag>МУЗ11</b:Tag>
    <b:SourceType>Book</b:SourceType>
    <b:Guid>{99E68D81-21E5-4992-AC37-028A9D9C6413}</b:Guid>
    <b:Author>
      <b:Author>
        <b:NameList>
          <b:Person>
            <b:Last>МУЗГ</b:Last>
          </b:Person>
        </b:NameList>
      </b:Author>
    </b:Author>
    <b:Title>Хувийн хэвшлийн хөгжлийг дэмжих үндэсний стратеги</b:Title>
    <b:Year>2011</b:Year>
    <b:City>Улаанбаатар</b:City>
    <b:RefOrder>23</b:RefOrder>
  </b:Source>
  <b:Source>
    <b:Tag>УИХ06</b:Tag>
    <b:SourceType>Book</b:SourceType>
    <b:Guid>{2DD93A2F-8EA0-4599-BDD8-D426328953EB}</b:Guid>
    <b:Author>
      <b:Author>
        <b:NameList>
          <b:Person>
            <b:Last>УИХ</b:Last>
          </b:Person>
        </b:NameList>
      </b:Author>
    </b:Author>
    <b:Title>Шинжлэх ухаан, технологийн тухай хууль</b:Title>
    <b:Year>2006</b:Year>
    <b:City>Улаанбаатар</b:City>
    <b:RefOrder>24</b:RefOrder>
  </b:Source>
  <b:Source>
    <b:Tag>Там13</b:Tag>
    <b:SourceType>Report</b:SourceType>
    <b:Guid>{3CB74327-1780-4D45-9040-9A08A16B7529}</b:Guid>
    <b:Author>
      <b:Author>
        <b:Corporate>Тамир, Ч., Мөнхбат, Л</b:Corporate>
      </b:Author>
    </b:Author>
    <b:Title>Монголын дээд боловсролын бодлого: үнэлгээ ба шинжилгээ</b:Title>
    <b:Year>2013</b:Year>
    <b:Publisher>Пикселс</b:Publisher>
    <b:City>Улаанбаатар</b:City>
    <b:RefOrder>25</b:RefOrder>
  </b:Source>
  <b:Source>
    <b:Tag>Арв09</b:Tag>
    <b:SourceType>Report</b:SourceType>
    <b:Guid>{FFE73C50-87EB-4C97-9F20-45FC7E754DC1}</b:Guid>
    <b:Author>
      <b:Author>
        <b:NameList>
          <b:Person>
            <b:Last>Арвинбаяр</b:Last>
            <b:First>Б</b:First>
          </b:Person>
        </b:NameList>
      </b:Author>
    </b:Author>
    <b:Title>Шинжлэх ухааны технологийн сангийн зарцуулалт, үр дүнгийн мониторинг</b:Title>
    <b:Year>2009</b:Year>
    <b:Publisher>Нээлттэй Нийгэм Форум</b:Publisher>
    <b:City>2009</b:City>
    <b:RefOrder>26</b:RefOrder>
  </b:Source>
  <b:Source>
    <b:Tag>Ажү15</b:Tag>
    <b:SourceType>Report</b:SourceType>
    <b:Guid>{375F7F24-6124-4439-BE4B-17DA86A699B5}</b:Guid>
    <b:Author>
      <b:Author>
        <b:NameList>
          <b:Person>
            <b:Last>яам</b:Last>
            <b:First>Аж</b:First>
            <b:Middle>үйлдвэрийн</b:Middle>
          </b:Person>
        </b:NameList>
      </b:Author>
    </b:Author>
    <b:Title>Аж үйлдвэрийн талаар баримтлах бодлого</b:Title>
    <b:Year>2015</b:Year>
    <b:City>Улаанбаатар</b:City>
    <b:RefOrder>27</b:RefOrder>
  </b:Source>
  <b:Source>
    <b:Tag>Мон07</b:Tag>
    <b:SourceType>Book</b:SourceType>
    <b:Guid>{07F26ACA-76A5-43AD-8435-D0E8871EE80F}</b:Guid>
    <b:Title>Монгол улсад үндэсний инновацийн тогтолцоог хөгжүүлэх хөтөлбөр (2008-2015)</b:Title>
    <b:Year>2007</b:Year>
    <b:City>Улаанбаатар</b:City>
    <b:RefOrder>28</b:RefOrder>
  </b:Source>
  <b:Source>
    <b:Tag>МУЗ92</b:Tag>
    <b:SourceType>JournalArticle</b:SourceType>
    <b:Guid>{91E1DE0B-DD36-48C5-9E93-9A0F7E67B9A0}</b:Guid>
    <b:Author>
      <b:Author>
        <b:NameList>
          <b:Person>
            <b:Last>МУЗГ</b:Last>
          </b:Person>
        </b:NameList>
      </b:Author>
    </b:Author>
    <b:Title>Монгол улсын засгийн газрын мөрийн хөтөлбөр /1992-1996/</b:Title>
    <b:JournalName>Үнэн</b:JournalName>
    <b:Year>1992</b:Year>
    <b:Pages>1</b:Pages>
    <b:RefOrder>29</b:RefOrder>
  </b:Source>
  <b:Source>
    <b:Tag>Bra94</b:Tag>
    <b:SourceType>JournalArticle</b:SourceType>
    <b:Guid>{2A0C3185-83CE-46A8-99D3-35E8CA229C41}</b:Guid>
    <b:Author>
      <b:Author>
        <b:Corporate>Bray, Mark, Surengiin Davaa, Seth Spaulding, and John C. Weidman. </b:Corporate>
      </b:Author>
    </b:Author>
    <b:Title>Transition from Socialism and the Financing of Higher Education: The case of Mongolia</b:Title>
    <b:JournalName>Higher Education Policy</b:JournalName>
    <b:Year>1994</b:Year>
    <b:Pages>36-42</b:Pages>
    <b:RefOrder>30</b:RefOrder>
  </b:Source>
  <b:Source>
    <b:Tag>Placeholder1</b:Tag>
    <b:SourceType>Book</b:SourceType>
    <b:Guid>{0AFD6851-8C81-4457-801C-F223A8CC9FEF}</b:Guid>
    <b:Author>
      <b:Author>
        <b:NameList>
          <b:Person>
            <b:Last>хүрээлэн</b:Last>
            <b:First>ИРИМ</b:First>
            <b:Middle>Хараат бус судалгааны</b:Middle>
          </b:Person>
        </b:NameList>
      </b:Author>
    </b:Author>
    <b:Title>Аж үйлдвэрийн салбарын хэрэгцээний үнэлгээ</b:Title>
    <b:Year>2015</b:Year>
    <b:City>Улаанбаатар</b:City>
    <b:RefOrder>31</b:RefOrder>
  </b:Source>
  <b:Source>
    <b:Tag>Хан91</b:Tag>
    <b:SourceType>JournalArticle</b:SourceType>
    <b:Guid>{FAD75C77-9975-433C-9547-E4A54C7DB51F}</b:Guid>
    <b:Author>
      <b:Author>
        <b:Corporate>Хандмаа Р.</b:Corporate>
      </b:Author>
    </b:Author>
    <b:Title>Хөгжилтэй орнуудын их дээд сургуулийн багшид тавигдах шаардлага</b:Title>
    <b:JournalName>Хүний нөөцийн менежмент</b:JournalName>
    <b:Year>2009</b:Year>
    <b:Pages> №1 х-26</b:Pages>
    <b:RefOrder>32</b:RefOrder>
  </b:Source>
  <b:Source>
    <b:Tag>МУИ121</b:Tag>
    <b:SourceType>Report</b:SourceType>
    <b:Guid>{C917DB3B-588B-4D16-B806-7ED14D16071E}</b:Guid>
    <b:Title>МУИС-ийн багшийн орон тоо, ажлын үнэлгээний журам</b:Title>
    <b:Year>2014</b:Year>
    <b:City>Захиралын 652 тоот тушаалын хавсралт 4</b:City>
    <b:Author>
      <b:Author>
        <b:Corporate>МУИС</b:Corporate>
      </b:Author>
    </b:Author>
    <b:RefOrder>33</b:RefOrder>
  </b:Source>
  <b:Source>
    <b:Tag>МУБ14</b:Tag>
    <b:SourceType>Report</b:SourceType>
    <b:Guid>{2B1D261B-C65B-40A4-AECB-F8F9AB68D647}</b:Guid>
    <b:Author>
      <b:Author>
        <b:Corporate>МУБИС</b:Corporate>
      </b:Author>
    </b:Author>
    <b:Title>МУБИС-ийн профессор багшийн ажлыг үнэлэх, дүгнэх  журам</b:Title>
    <b:Year>2014</b:Year>
    <b:City>шинэчилсэн найруулгын төсөл</b:City>
    <b:RefOrder>34</b:RefOrder>
  </b:Source>
  <b:Source>
    <b:Tag>ХАА13</b:Tag>
    <b:SourceType>Report</b:SourceType>
    <b:Guid>{9769B978-B741-472E-8FF6-5DCEF1135BC7}</b:Guid>
    <b:Author>
      <b:Author>
        <b:Corporate>ХААИС</b:Corporate>
      </b:Author>
    </b:Author>
    <b:Title>ХААИС-ийн профессор багшийн ажлыг төлөвлөх, гүйцэтгэлийг тооцох журам</b:Title>
    <b:Year>2013</b:Year>
    <b:City>УБ</b:City>
    <b:RefOrder>35</b:RefOrder>
  </b:Source>
  <b:Source>
    <b:Tag>ШУТ13</b:Tag>
    <b:SourceType>Report</b:SourceType>
    <b:Guid>{2CB8B2A9-5376-4CB0-A825-784180391552}</b:Guid>
    <b:Year>2013</b:Year>
    <b:Author>
      <b:Author>
        <b:Corporate>ШУТИС</b:Corporate>
      </b:Author>
    </b:Author>
    <b:RefOrder>36</b:RefOrder>
  </b:Source>
  <b:Source>
    <b:Tag>ХСИ13</b:Tag>
    <b:SourceType>Report</b:SourceType>
    <b:Guid>{E1DA7C49-2378-4DD8-94FA-6E47406F02BC}</b:Guid>
    <b:Author>
      <b:Author>
        <b:Corporate>ХСИС</b:Corporate>
      </b:Author>
    </b:Author>
    <b:Year>2013</b:Year>
    <b:RefOrder>37</b:RefOrder>
  </b:Source>
</b:Sources>
</file>

<file path=customXml/itemProps1.xml><?xml version="1.0" encoding="utf-8"?>
<ds:datastoreItem xmlns:ds="http://schemas.openxmlformats.org/officeDocument/2006/customXml" ds:itemID="{91858013-344B-C24E-BA22-47637A3F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4264</Words>
  <Characters>24306</Characters>
  <Application>Microsoft Office Word</Application>
  <DocSecurity>0</DocSecurity>
  <Lines>202</Lines>
  <Paragraphs>57</Paragraphs>
  <ScaleCrop>false</ScaleCrop>
  <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2025-07-06T09:16:00Z</dcterms:created>
  <dcterms:modified xsi:type="dcterms:W3CDTF">2025-07-06T09:17:00Z</dcterms:modified>
</cp:coreProperties>
</file>