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8FC18" w14:textId="77777777" w:rsidR="00532BDC" w:rsidRPr="00532BDC" w:rsidRDefault="00532BDC" w:rsidP="00532BDC">
      <w:pPr>
        <w:spacing w:after="0" w:line="240" w:lineRule="auto"/>
        <w:ind w:left="5040" w:firstLine="720"/>
        <w:jc w:val="center"/>
        <w:rPr>
          <w:rFonts w:ascii="Times New Roman" w:hAnsi="Times New Roman" w:cs="Times New Roman"/>
          <w:b/>
          <w:sz w:val="24"/>
          <w:szCs w:val="24"/>
          <w:lang w:val="mn-MN"/>
        </w:rPr>
      </w:pPr>
      <w:r w:rsidRPr="00532BDC">
        <w:rPr>
          <w:rFonts w:ascii="Times New Roman" w:hAnsi="Times New Roman" w:cs="Times New Roman"/>
          <w:b/>
          <w:sz w:val="24"/>
          <w:szCs w:val="24"/>
          <w:lang w:val="mn-MN"/>
        </w:rPr>
        <w:t>Тамир</w:t>
      </w:r>
    </w:p>
    <w:p w14:paraId="3B9BDFD6" w14:textId="77777777" w:rsidR="00532BDC" w:rsidRPr="00532BDC" w:rsidRDefault="00532BDC" w:rsidP="00532BDC">
      <w:pPr>
        <w:spacing w:after="0" w:line="240" w:lineRule="auto"/>
        <w:rPr>
          <w:rFonts w:ascii="Times New Roman" w:hAnsi="Times New Roman" w:cs="Times New Roman"/>
          <w:b/>
          <w:sz w:val="24"/>
          <w:szCs w:val="24"/>
          <w:lang w:val="mn-MN"/>
        </w:rPr>
      </w:pPr>
      <w:r w:rsidRPr="00532BDC">
        <w:rPr>
          <w:rFonts w:ascii="Times New Roman" w:hAnsi="Times New Roman" w:cs="Times New Roman"/>
          <w:b/>
          <w:sz w:val="24"/>
          <w:szCs w:val="24"/>
          <w:lang w:val="mn-MN"/>
        </w:rPr>
        <w:t xml:space="preserve">                                              МУИС-ийн  Социологи,Нийгмийн ажлын тэнхим багш</w:t>
      </w:r>
    </w:p>
    <w:p w14:paraId="65E6FAA5" w14:textId="77777777" w:rsidR="00532BDC" w:rsidRPr="00532BDC" w:rsidRDefault="00532BDC" w:rsidP="00532BDC">
      <w:pPr>
        <w:spacing w:after="0" w:line="240" w:lineRule="auto"/>
        <w:ind w:left="4320"/>
        <w:jc w:val="both"/>
        <w:rPr>
          <w:rFonts w:ascii="Times New Roman" w:hAnsi="Times New Roman" w:cs="Times New Roman"/>
          <w:b/>
          <w:sz w:val="24"/>
          <w:szCs w:val="24"/>
        </w:rPr>
      </w:pPr>
      <w:r w:rsidRPr="00532BDC">
        <w:rPr>
          <w:rFonts w:ascii="Times New Roman" w:hAnsi="Times New Roman" w:cs="Times New Roman"/>
          <w:b/>
          <w:sz w:val="24"/>
          <w:szCs w:val="24"/>
          <w:lang w:val="mn-MN"/>
        </w:rPr>
        <w:t>А.Тэнүүнжаргал, МУИС-ийн магистрант</w:t>
      </w:r>
    </w:p>
    <w:p w14:paraId="692A66FA" w14:textId="77777777" w:rsidR="00532BDC" w:rsidRPr="00532BDC" w:rsidRDefault="00532BDC" w:rsidP="00532BDC">
      <w:pPr>
        <w:spacing w:after="0" w:line="240" w:lineRule="auto"/>
        <w:ind w:left="4320"/>
        <w:jc w:val="both"/>
        <w:rPr>
          <w:rFonts w:ascii="Times New Roman" w:hAnsi="Times New Roman" w:cs="Times New Roman"/>
          <w:b/>
          <w:sz w:val="24"/>
          <w:szCs w:val="24"/>
        </w:rPr>
      </w:pPr>
    </w:p>
    <w:p w14:paraId="1ABD7943" w14:textId="77777777" w:rsidR="00532BDC" w:rsidRPr="00532BDC" w:rsidRDefault="00532BDC" w:rsidP="00532BDC">
      <w:pPr>
        <w:jc w:val="center"/>
        <w:rPr>
          <w:rFonts w:ascii="Times New Roman" w:hAnsi="Times New Roman" w:cs="Times New Roman"/>
          <w:b/>
          <w:sz w:val="24"/>
          <w:szCs w:val="24"/>
          <w:lang w:val="mn-MN"/>
        </w:rPr>
      </w:pPr>
      <w:r w:rsidRPr="00532BDC">
        <w:rPr>
          <w:rFonts w:ascii="Times New Roman" w:hAnsi="Times New Roman" w:cs="Times New Roman"/>
          <w:b/>
          <w:sz w:val="24"/>
          <w:szCs w:val="24"/>
          <w:lang w:val="mn-MN"/>
        </w:rPr>
        <w:t>ИХ ДЭЭД СУРГУУЛЬ, АЖ ҮЙЛДВЭРИЙН САЛБАР ХООРОНДЫН ХАМТЫН АЖИЛЛАГААНЫ ӨНӨӨГИЙН БАЙДАЛ</w:t>
      </w:r>
    </w:p>
    <w:p w14:paraId="71E1BD27" w14:textId="77777777" w:rsidR="00532BDC" w:rsidRPr="00532BDC" w:rsidRDefault="00532BDC" w:rsidP="00532BDC">
      <w:pPr>
        <w:spacing w:after="0"/>
        <w:jc w:val="both"/>
        <w:rPr>
          <w:rFonts w:ascii="Times New Roman" w:hAnsi="Times New Roman" w:cs="Times New Roman"/>
          <w:i/>
          <w:sz w:val="24"/>
          <w:szCs w:val="24"/>
          <w:shd w:val="clear" w:color="auto" w:fill="FFFFFF"/>
        </w:rPr>
      </w:pPr>
      <w:r w:rsidRPr="00532BDC">
        <w:rPr>
          <w:rFonts w:ascii="Times New Roman" w:hAnsi="Times New Roman" w:cs="Times New Roman"/>
          <w:b/>
          <w:sz w:val="24"/>
          <w:szCs w:val="24"/>
        </w:rPr>
        <w:t xml:space="preserve">Abstract: </w:t>
      </w:r>
      <w:r w:rsidRPr="00532BDC">
        <w:rPr>
          <w:rFonts w:ascii="Times New Roman" w:hAnsi="Times New Roman" w:cs="Times New Roman"/>
          <w:i/>
          <w:sz w:val="24"/>
          <w:szCs w:val="24"/>
          <w:shd w:val="clear" w:color="auto" w:fill="FFFFFF"/>
        </w:rPr>
        <w:t>The main aim of</w:t>
      </w:r>
      <w:r w:rsidRPr="00532BDC">
        <w:rPr>
          <w:rStyle w:val="apple-converted-space"/>
          <w:rFonts w:ascii="Times New Roman" w:hAnsi="Times New Roman" w:cs="Times New Roman"/>
          <w:i/>
          <w:sz w:val="24"/>
          <w:szCs w:val="24"/>
          <w:shd w:val="clear" w:color="auto" w:fill="FFFFFF"/>
        </w:rPr>
        <w:t> </w:t>
      </w:r>
      <w:r w:rsidRPr="00532BDC">
        <w:rPr>
          <w:rStyle w:val="correction"/>
          <w:rFonts w:ascii="Times New Roman" w:hAnsi="Times New Roman" w:cs="Times New Roman"/>
          <w:i/>
          <w:sz w:val="24"/>
          <w:szCs w:val="24"/>
          <w:bdr w:val="none" w:sz="0" w:space="0" w:color="auto" w:frame="1"/>
          <w:shd w:val="clear" w:color="auto" w:fill="FFFFFF"/>
        </w:rPr>
        <w:t>the research work</w:t>
      </w:r>
      <w:r w:rsidRPr="00532BDC">
        <w:rPr>
          <w:rStyle w:val="apple-converted-space"/>
          <w:rFonts w:ascii="Times New Roman" w:hAnsi="Times New Roman" w:cs="Times New Roman"/>
          <w:i/>
          <w:sz w:val="24"/>
          <w:szCs w:val="24"/>
          <w:shd w:val="clear" w:color="auto" w:fill="FFFFFF"/>
        </w:rPr>
        <w:t> </w:t>
      </w:r>
      <w:r w:rsidRPr="00532BDC">
        <w:rPr>
          <w:rFonts w:ascii="Times New Roman" w:hAnsi="Times New Roman" w:cs="Times New Roman"/>
          <w:i/>
          <w:sz w:val="24"/>
          <w:szCs w:val="24"/>
          <w:shd w:val="clear" w:color="auto" w:fill="FFFFFF"/>
        </w:rPr>
        <w:t xml:space="preserve">was to analyze and assess the current situation of partnership between Industry and Universities by using the primary and secondary sources. The main result from this research shows that partnership between </w:t>
      </w:r>
      <w:proofErr w:type="gramStart"/>
      <w:r w:rsidRPr="00532BDC">
        <w:rPr>
          <w:rFonts w:ascii="Times New Roman" w:hAnsi="Times New Roman" w:cs="Times New Roman"/>
          <w:i/>
          <w:sz w:val="24"/>
          <w:szCs w:val="24"/>
          <w:shd w:val="clear" w:color="auto" w:fill="FFFFFF"/>
        </w:rPr>
        <w:t>Universities</w:t>
      </w:r>
      <w:proofErr w:type="gramEnd"/>
      <w:r w:rsidRPr="00532BDC">
        <w:rPr>
          <w:rFonts w:ascii="Times New Roman" w:hAnsi="Times New Roman" w:cs="Times New Roman"/>
          <w:i/>
          <w:sz w:val="24"/>
          <w:szCs w:val="24"/>
          <w:shd w:val="clear" w:color="auto" w:fill="FFFFFF"/>
        </w:rPr>
        <w:t xml:space="preserve"> and industries are in their beginning phase and cannot be mutually beneficial partnership. Currently, appearance of partnership between these two industries is limited to student internship work. There is need of other types of support from human resource for universities learn to work in consistent with actual needs, features and functions of industries. The research work consists of</w:t>
      </w:r>
      <w:r w:rsidRPr="00532BDC">
        <w:rPr>
          <w:rStyle w:val="apple-converted-space"/>
          <w:rFonts w:ascii="Times New Roman" w:hAnsi="Times New Roman" w:cs="Times New Roman"/>
          <w:i/>
          <w:sz w:val="24"/>
          <w:szCs w:val="24"/>
          <w:shd w:val="clear" w:color="auto" w:fill="FFFFFF"/>
        </w:rPr>
        <w:t> </w:t>
      </w:r>
      <w:r w:rsidRPr="00532BDC">
        <w:rPr>
          <w:rStyle w:val="correction"/>
          <w:rFonts w:ascii="Times New Roman" w:hAnsi="Times New Roman" w:cs="Times New Roman"/>
          <w:i/>
          <w:sz w:val="24"/>
          <w:szCs w:val="24"/>
          <w:bdr w:val="none" w:sz="0" w:space="0" w:color="auto" w:frame="1"/>
          <w:shd w:val="clear" w:color="auto" w:fill="FFFFFF"/>
        </w:rPr>
        <w:t>assessment methods</w:t>
      </w:r>
      <w:r w:rsidRPr="00532BDC">
        <w:rPr>
          <w:rFonts w:ascii="Times New Roman" w:hAnsi="Times New Roman" w:cs="Times New Roman"/>
          <w:i/>
          <w:sz w:val="24"/>
          <w:szCs w:val="24"/>
          <w:shd w:val="clear" w:color="auto" w:fill="FFFFFF"/>
        </w:rPr>
        <w:t xml:space="preserve">, either level needs or current situation of collaboration between Industry and Universities. </w:t>
      </w:r>
    </w:p>
    <w:p w14:paraId="7C227BBF" w14:textId="77777777" w:rsidR="00532BDC" w:rsidRPr="00532BDC" w:rsidRDefault="00532BDC" w:rsidP="00532BDC">
      <w:pPr>
        <w:spacing w:after="0"/>
        <w:jc w:val="both"/>
        <w:rPr>
          <w:rFonts w:ascii="Times New Roman" w:hAnsi="Times New Roman" w:cs="Times New Roman"/>
          <w:b/>
          <w:sz w:val="24"/>
          <w:szCs w:val="24"/>
        </w:rPr>
      </w:pPr>
      <w:r w:rsidRPr="00532BDC">
        <w:rPr>
          <w:rFonts w:ascii="Times New Roman" w:hAnsi="Times New Roman" w:cs="Times New Roman"/>
          <w:b/>
          <w:sz w:val="24"/>
          <w:szCs w:val="24"/>
        </w:rPr>
        <w:t xml:space="preserve">Key words: </w:t>
      </w:r>
      <w:r w:rsidRPr="00532BDC">
        <w:rPr>
          <w:rFonts w:ascii="Times New Roman" w:hAnsi="Times New Roman" w:cs="Times New Roman"/>
          <w:sz w:val="24"/>
          <w:szCs w:val="24"/>
        </w:rPr>
        <w:t>higher education</w:t>
      </w:r>
      <w:r w:rsidRPr="00532BDC">
        <w:rPr>
          <w:rFonts w:ascii="Times New Roman" w:hAnsi="Times New Roman" w:cs="Times New Roman"/>
          <w:b/>
          <w:sz w:val="24"/>
          <w:szCs w:val="24"/>
        </w:rPr>
        <w:t xml:space="preserve">, </w:t>
      </w:r>
      <w:proofErr w:type="gramStart"/>
      <w:r w:rsidRPr="00532BDC">
        <w:rPr>
          <w:rFonts w:ascii="Times New Roman" w:hAnsi="Times New Roman" w:cs="Times New Roman"/>
          <w:sz w:val="24"/>
          <w:szCs w:val="24"/>
        </w:rPr>
        <w:t>industry</w:t>
      </w:r>
      <w:r w:rsidRPr="00532BDC">
        <w:rPr>
          <w:rFonts w:ascii="Times New Roman" w:hAnsi="Times New Roman" w:cs="Times New Roman"/>
          <w:b/>
          <w:sz w:val="24"/>
          <w:szCs w:val="24"/>
        </w:rPr>
        <w:t xml:space="preserve">, </w:t>
      </w:r>
      <w:r w:rsidRPr="00532BDC">
        <w:rPr>
          <w:rFonts w:ascii="Times New Roman" w:hAnsi="Times New Roman" w:cs="Times New Roman"/>
          <w:b/>
          <w:sz w:val="24"/>
          <w:szCs w:val="24"/>
          <w:lang w:val="mn-MN"/>
        </w:rPr>
        <w:t xml:space="preserve"> </w:t>
      </w:r>
      <w:r w:rsidRPr="00532BDC">
        <w:rPr>
          <w:rFonts w:ascii="Times New Roman" w:hAnsi="Times New Roman" w:cs="Times New Roman"/>
          <w:sz w:val="24"/>
          <w:szCs w:val="24"/>
          <w:shd w:val="clear" w:color="auto" w:fill="FFFFFF"/>
        </w:rPr>
        <w:t>human</w:t>
      </w:r>
      <w:proofErr w:type="gramEnd"/>
      <w:r w:rsidRPr="00532BDC">
        <w:rPr>
          <w:rFonts w:ascii="Times New Roman" w:hAnsi="Times New Roman" w:cs="Times New Roman"/>
          <w:sz w:val="24"/>
          <w:szCs w:val="24"/>
          <w:shd w:val="clear" w:color="auto" w:fill="FFFFFF"/>
        </w:rPr>
        <w:t xml:space="preserve"> resource.</w:t>
      </w:r>
      <w:r w:rsidRPr="00532BDC">
        <w:rPr>
          <w:rFonts w:ascii="Times New Roman" w:hAnsi="Times New Roman" w:cs="Times New Roman"/>
          <w:b/>
          <w:sz w:val="24"/>
          <w:szCs w:val="24"/>
          <w:lang w:val="mn-MN"/>
        </w:rPr>
        <w:t xml:space="preserve"> </w:t>
      </w:r>
    </w:p>
    <w:p w14:paraId="51F254E2" w14:textId="77777777" w:rsidR="00532BDC" w:rsidRPr="00532BDC" w:rsidRDefault="00532BDC" w:rsidP="00532BDC">
      <w:pPr>
        <w:spacing w:after="0"/>
        <w:jc w:val="both"/>
        <w:rPr>
          <w:rFonts w:ascii="Times New Roman" w:hAnsi="Times New Roman" w:cs="Times New Roman"/>
          <w:b/>
          <w:sz w:val="24"/>
          <w:szCs w:val="24"/>
        </w:rPr>
      </w:pPr>
    </w:p>
    <w:p w14:paraId="58AF3DBD" w14:textId="77777777" w:rsidR="00532BDC" w:rsidRPr="00532BDC" w:rsidRDefault="00532BDC" w:rsidP="00532BDC">
      <w:pPr>
        <w:spacing w:after="0"/>
        <w:jc w:val="both"/>
        <w:rPr>
          <w:rFonts w:ascii="Times New Roman" w:hAnsi="Times New Roman" w:cs="Times New Roman"/>
          <w:b/>
          <w:sz w:val="24"/>
          <w:szCs w:val="24"/>
          <w:lang w:val="mn-MN"/>
        </w:rPr>
      </w:pPr>
      <w:r w:rsidRPr="00532BDC">
        <w:rPr>
          <w:rFonts w:ascii="Times New Roman" w:hAnsi="Times New Roman" w:cs="Times New Roman"/>
          <w:b/>
          <w:sz w:val="24"/>
          <w:szCs w:val="24"/>
          <w:lang w:val="mn-MN"/>
        </w:rPr>
        <w:t>1. Үнэлгээний (Assessment) арга зүй</w:t>
      </w:r>
    </w:p>
    <w:p w14:paraId="55E05B1E"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Энэхүү үнэлгээний зорилго нь аж үйлдвэрийн салбар ба дээд боловсролын байгууллагуудын хамтын ажиллагааны өнөөгийн нөхцөл байдлыг үнэлж улмаар ерөнхий дүр зургийг тоймлон харуулах, цаашлаад тэдгээрийн хамтын ажиллагааг сайжруулахад анхаарах зүйлсийг тодорхойлох явдал юм. Үүнийн тулд аж үйлдвэрийн салбар, их дээд сургууль хоорондын хамтын ажиллагааны өнөөгийн бодит байдалд тоон ба чанарын судалгааны хэрэглэгдэхүүнийг ашиглан үнэлгээ хийсэн. Үнэлгээнд анхдагч болон хоёрдогч мэдээлэл дээр тулгуурлан анкет ба мөн бичиг баримтын аргуудыг хосолмол байдлаар ашигласан. Ингэхдээ 2015 оны намар цуврал ярилцлагуудыг МУИС, ШУТИС, МУБИС, “Этүгэн”, “Гурван Эрдэнэ” БДС-ын холбогдох мэргэжилтнүүдтэй хийв. Мөн хувийн хэвшлийн байгууллага, мэргэжлийн холбоодын төлөөлөлтэй цуврал уулзалтуудыг хийсэн. Хоёрдагч бичиг баримтууд дээр тулгуурлан урьд өмнө хийгдсэн судалгааны ажил, олон улсын тайлан зэрэг баримтуудыг ашиглаж түүхэн ба харьцуулсан шинжилгээ хийсэн. Их дээд сургуулиуд, аж үйлдвэрийн салбар хоорондын хамтын ажиллагааг оюутны дадлагын ажлын хүрээнд  анкетын аргаар оюутнуудаар үнэлүүлсэн</w:t>
      </w:r>
      <w:r w:rsidRPr="00532BDC">
        <w:rPr>
          <w:rStyle w:val="FootnoteReference"/>
          <w:rFonts w:ascii="Times New Roman" w:hAnsi="Times New Roman" w:cs="Times New Roman"/>
          <w:sz w:val="24"/>
          <w:szCs w:val="24"/>
          <w:lang w:val="mn-MN"/>
        </w:rPr>
        <w:footnoteReference w:id="1"/>
      </w:r>
      <w:r w:rsidRPr="00532BDC">
        <w:rPr>
          <w:rFonts w:ascii="Times New Roman" w:hAnsi="Times New Roman" w:cs="Times New Roman"/>
          <w:sz w:val="24"/>
          <w:szCs w:val="24"/>
          <w:lang w:val="mn-MN"/>
        </w:rPr>
        <w:t xml:space="preserve">.  </w:t>
      </w:r>
    </w:p>
    <w:p w14:paraId="1B14777A" w14:textId="77777777" w:rsidR="00532BDC" w:rsidRPr="00532BDC" w:rsidRDefault="00532BDC" w:rsidP="00532BDC">
      <w:pPr>
        <w:spacing w:after="0"/>
        <w:jc w:val="both"/>
        <w:rPr>
          <w:rFonts w:ascii="Times New Roman" w:hAnsi="Times New Roman" w:cs="Times New Roman"/>
          <w:b/>
          <w:sz w:val="24"/>
          <w:szCs w:val="24"/>
          <w:lang w:val="mn-MN"/>
        </w:rPr>
      </w:pPr>
      <w:r w:rsidRPr="00532BDC">
        <w:rPr>
          <w:rFonts w:ascii="Times New Roman" w:hAnsi="Times New Roman" w:cs="Times New Roman"/>
          <w:b/>
          <w:sz w:val="24"/>
          <w:szCs w:val="24"/>
          <w:lang w:val="mn-MN"/>
        </w:rPr>
        <w:t xml:space="preserve">2. Их дээд сургууль, аж үйлдвэрийн салбар хоорондын хамтын ажиллагааны хэрэгцээний түвшин </w:t>
      </w:r>
    </w:p>
    <w:p w14:paraId="7B38342C" w14:textId="77777777" w:rsidR="00532BDC" w:rsidRPr="00532BDC" w:rsidRDefault="00532BDC" w:rsidP="00532BDC">
      <w:pPr>
        <w:spacing w:after="0"/>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Их дээд сургуулиуд нь  шинжлэх ухаан үйлдвэрлэлийн  хүрээнд аж үйлдвэрийн салбартай хамтын ажиллагаатай байдаг. “</w:t>
      </w:r>
      <w:r w:rsidRPr="00532BDC">
        <w:rPr>
          <w:rFonts w:ascii="Times New Roman" w:hAnsi="Times New Roman" w:cs="Times New Roman"/>
          <w:sz w:val="24"/>
          <w:szCs w:val="24"/>
        </w:rPr>
        <w:t>IRIM</w:t>
      </w:r>
      <w:r w:rsidRPr="00532BDC">
        <w:rPr>
          <w:rFonts w:ascii="Times New Roman" w:hAnsi="Times New Roman" w:cs="Times New Roman"/>
          <w:sz w:val="24"/>
          <w:szCs w:val="24"/>
          <w:lang w:val="mn-MN"/>
        </w:rPr>
        <w:t xml:space="preserve">” Хараат Бус Судалгааны Хүрээлэнгийн 2015 оны эхээр </w:t>
      </w:r>
      <w:r w:rsidRPr="00532BDC">
        <w:rPr>
          <w:rFonts w:ascii="Times New Roman" w:hAnsi="Times New Roman" w:cs="Times New Roman"/>
          <w:sz w:val="24"/>
          <w:szCs w:val="24"/>
          <w:lang w:val="mn-MN"/>
        </w:rPr>
        <w:lastRenderedPageBreak/>
        <w:t xml:space="preserve">хийгдсэн “Аж үйлдвэрийн салбарын хэрэгцээний үнэлгээ” судалгаанаас харахад нийт судалгаанд оролцсон 35 уул уурхайтай холбоотой компаниудын 28.9 хувь нь ШУТИС-ийн инновацийн чадавхийг сайн гэжээ. </w:t>
      </w:r>
      <w:sdt>
        <w:sdtPr>
          <w:rPr>
            <w:rFonts w:ascii="Times New Roman" w:hAnsi="Times New Roman" w:cs="Times New Roman"/>
            <w:sz w:val="24"/>
            <w:szCs w:val="24"/>
            <w:lang w:val="mn-MN"/>
          </w:rPr>
          <w:id w:val="-166175816"/>
          <w:citation/>
        </w:sdtPr>
        <w:sdtContent>
          <w:r w:rsidRPr="00532BDC">
            <w:rPr>
              <w:rFonts w:ascii="Times New Roman" w:hAnsi="Times New Roman" w:cs="Times New Roman"/>
              <w:sz w:val="24"/>
              <w:szCs w:val="24"/>
              <w:lang w:val="mn-MN"/>
            </w:rPr>
            <w:fldChar w:fldCharType="begin"/>
          </w:r>
          <w:r w:rsidRPr="00532BDC">
            <w:rPr>
              <w:rFonts w:ascii="Times New Roman" w:hAnsi="Times New Roman" w:cs="Times New Roman"/>
              <w:sz w:val="24"/>
              <w:szCs w:val="24"/>
              <w:lang w:val="mn-MN"/>
            </w:rPr>
            <w:instrText xml:space="preserve"> CITATION ИРИ15 \t  \l 1104  </w:instrText>
          </w:r>
          <w:r w:rsidRPr="00532BDC">
            <w:rPr>
              <w:rFonts w:ascii="Times New Roman" w:hAnsi="Times New Roman" w:cs="Times New Roman"/>
              <w:sz w:val="24"/>
              <w:szCs w:val="24"/>
              <w:lang w:val="mn-MN"/>
            </w:rPr>
            <w:fldChar w:fldCharType="separate"/>
          </w:r>
          <w:r w:rsidRPr="00532BDC">
            <w:rPr>
              <w:rFonts w:ascii="Times New Roman" w:hAnsi="Times New Roman" w:cs="Times New Roman"/>
              <w:noProof/>
              <w:sz w:val="24"/>
              <w:szCs w:val="24"/>
              <w:lang w:val="mn-MN"/>
            </w:rPr>
            <w:t>(хүрээлэн, 2015)</w:t>
          </w:r>
          <w:r w:rsidRPr="00532BDC">
            <w:rPr>
              <w:rFonts w:ascii="Times New Roman" w:hAnsi="Times New Roman" w:cs="Times New Roman"/>
              <w:sz w:val="24"/>
              <w:szCs w:val="24"/>
              <w:lang w:val="mn-MN"/>
            </w:rPr>
            <w:fldChar w:fldCharType="end"/>
          </w:r>
        </w:sdtContent>
      </w:sdt>
      <w:r w:rsidRPr="00532BDC">
        <w:rPr>
          <w:rFonts w:ascii="Times New Roman" w:hAnsi="Times New Roman" w:cs="Times New Roman"/>
          <w:sz w:val="24"/>
          <w:szCs w:val="24"/>
          <w:lang w:val="mn-MN"/>
        </w:rPr>
        <w:t>. Судалгаанд компаниудын дийлэнхи нь тухайн их дээд сургуулиудын инновацын чадавхийг үнэлж мэдэхгүй байгаа нь тэдгээр компаниудад сургуулиудтай хамтарч ажиллаж байсан туршлага байхгүйг илтгэнэ. Харин хамтран ажиллаж байсан тохиолдолд тухайн сургуулийн инновацын чадавхийг үнэлсэн үнэлгээнд дунд болон муу гэсэн үнэлгээ давамгайлсан байна. Үүнээс харахад аж үйлдвэрийн салбарынхан одоогийн их дээд сургууль, шинжлэх ухааны академийн  судалгаа хөгжлийн үйлчилгээний чадавхийг сул гэж үнэлжээ.</w:t>
      </w:r>
    </w:p>
    <w:p w14:paraId="3636664F" w14:textId="77777777" w:rsidR="00532BDC" w:rsidRPr="00532BDC" w:rsidRDefault="00532BDC" w:rsidP="00532BDC">
      <w:pPr>
        <w:spacing w:after="0"/>
        <w:jc w:val="both"/>
        <w:rPr>
          <w:rFonts w:ascii="Times New Roman" w:hAnsi="Times New Roman" w:cs="Times New Roman"/>
          <w:i/>
          <w:sz w:val="24"/>
          <w:szCs w:val="24"/>
          <w:lang w:val="mn-MN"/>
        </w:rPr>
      </w:pPr>
      <w:r w:rsidRPr="00532BDC">
        <w:rPr>
          <w:rFonts w:ascii="Times New Roman" w:hAnsi="Times New Roman" w:cs="Times New Roman"/>
          <w:i/>
          <w:sz w:val="24"/>
          <w:szCs w:val="24"/>
          <w:lang w:val="mn-MN"/>
        </w:rPr>
        <w:t>Хүснэгт 1  Их дээд сургуулиудын инновацийн чадавхийг үнэлсэн үнэлгээ %</w:t>
      </w:r>
    </w:p>
    <w:tbl>
      <w:tblPr>
        <w:tblStyle w:val="LightGrid-Accent5"/>
        <w:tblW w:w="0" w:type="auto"/>
        <w:tblInd w:w="102" w:type="dxa"/>
        <w:tblLook w:val="04A0" w:firstRow="1" w:lastRow="0" w:firstColumn="1" w:lastColumn="0" w:noHBand="0" w:noVBand="1"/>
      </w:tblPr>
      <w:tblGrid>
        <w:gridCol w:w="337"/>
        <w:gridCol w:w="2976"/>
        <w:gridCol w:w="1046"/>
        <w:gridCol w:w="979"/>
        <w:gridCol w:w="976"/>
        <w:gridCol w:w="2029"/>
        <w:gridCol w:w="895"/>
      </w:tblGrid>
      <w:tr w:rsidR="00532BDC" w:rsidRPr="00532BDC" w14:paraId="0381C5F1" w14:textId="77777777" w:rsidTr="002C5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 w:type="dxa"/>
          </w:tcPr>
          <w:p w14:paraId="5FFFB4F2" w14:textId="77777777" w:rsidR="00532BDC" w:rsidRPr="00532BDC" w:rsidRDefault="00532BDC" w:rsidP="002C5A6C">
            <w:pPr>
              <w:jc w:val="both"/>
              <w:rPr>
                <w:rFonts w:ascii="Times New Roman" w:hAnsi="Times New Roman" w:cs="Times New Roman"/>
                <w:b w:val="0"/>
                <w:sz w:val="24"/>
                <w:szCs w:val="24"/>
                <w:lang w:val="mn-MN"/>
              </w:rPr>
            </w:pPr>
          </w:p>
        </w:tc>
        <w:tc>
          <w:tcPr>
            <w:tcW w:w="3031" w:type="dxa"/>
          </w:tcPr>
          <w:p w14:paraId="6FCD965B"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Байгууллагууд</w:t>
            </w:r>
          </w:p>
        </w:tc>
        <w:tc>
          <w:tcPr>
            <w:tcW w:w="1059" w:type="dxa"/>
          </w:tcPr>
          <w:p w14:paraId="3D0E1739"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 xml:space="preserve">Сайн </w:t>
            </w:r>
          </w:p>
        </w:tc>
        <w:tc>
          <w:tcPr>
            <w:tcW w:w="990" w:type="dxa"/>
          </w:tcPr>
          <w:p w14:paraId="609DAA6A"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Дунд</w:t>
            </w:r>
          </w:p>
        </w:tc>
        <w:tc>
          <w:tcPr>
            <w:tcW w:w="990" w:type="dxa"/>
          </w:tcPr>
          <w:p w14:paraId="1B9F9401"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 xml:space="preserve">Муу </w:t>
            </w:r>
          </w:p>
        </w:tc>
        <w:tc>
          <w:tcPr>
            <w:tcW w:w="2070" w:type="dxa"/>
          </w:tcPr>
          <w:p w14:paraId="53FDA8A1"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Хэлж мэдэхгүй байна</w:t>
            </w:r>
          </w:p>
        </w:tc>
        <w:tc>
          <w:tcPr>
            <w:tcW w:w="900" w:type="dxa"/>
          </w:tcPr>
          <w:p w14:paraId="453B0028" w14:textId="77777777" w:rsidR="00532BDC" w:rsidRPr="00532BDC" w:rsidRDefault="00532BDC" w:rsidP="002C5A6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mn-MN"/>
              </w:rPr>
            </w:pPr>
            <w:r w:rsidRPr="00532BDC">
              <w:rPr>
                <w:rFonts w:ascii="Times New Roman" w:hAnsi="Times New Roman" w:cs="Times New Roman"/>
                <w:sz w:val="24"/>
                <w:szCs w:val="24"/>
                <w:lang w:val="mn-MN"/>
              </w:rPr>
              <w:t xml:space="preserve">Нийт </w:t>
            </w:r>
          </w:p>
        </w:tc>
      </w:tr>
      <w:tr w:rsidR="00532BDC" w:rsidRPr="00532BDC" w14:paraId="0779AD55" w14:textId="77777777" w:rsidTr="002C5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 w:type="dxa"/>
          </w:tcPr>
          <w:p w14:paraId="24936600" w14:textId="77777777" w:rsidR="00532BDC" w:rsidRPr="00532BDC" w:rsidRDefault="00532BDC" w:rsidP="002C5A6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1</w:t>
            </w:r>
          </w:p>
        </w:tc>
        <w:tc>
          <w:tcPr>
            <w:tcW w:w="3031" w:type="dxa"/>
          </w:tcPr>
          <w:p w14:paraId="45BCD15C" w14:textId="77777777" w:rsidR="00532BDC" w:rsidRPr="00532BDC" w:rsidRDefault="00532BDC" w:rsidP="002C5A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ШУТИС</w:t>
            </w:r>
          </w:p>
        </w:tc>
        <w:tc>
          <w:tcPr>
            <w:tcW w:w="1059" w:type="dxa"/>
          </w:tcPr>
          <w:p w14:paraId="77B89B92"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28.9</w:t>
            </w:r>
          </w:p>
        </w:tc>
        <w:tc>
          <w:tcPr>
            <w:tcW w:w="990" w:type="dxa"/>
          </w:tcPr>
          <w:p w14:paraId="0035387D"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18.4</w:t>
            </w:r>
          </w:p>
        </w:tc>
        <w:tc>
          <w:tcPr>
            <w:tcW w:w="990" w:type="dxa"/>
          </w:tcPr>
          <w:p w14:paraId="14C4BE0C"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10.5</w:t>
            </w:r>
          </w:p>
        </w:tc>
        <w:tc>
          <w:tcPr>
            <w:tcW w:w="2070" w:type="dxa"/>
          </w:tcPr>
          <w:p w14:paraId="5ABB9366"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42.1</w:t>
            </w:r>
          </w:p>
        </w:tc>
        <w:tc>
          <w:tcPr>
            <w:tcW w:w="900" w:type="dxa"/>
          </w:tcPr>
          <w:p w14:paraId="69128B5F"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100</w:t>
            </w:r>
          </w:p>
        </w:tc>
      </w:tr>
      <w:tr w:rsidR="00532BDC" w:rsidRPr="00532BDC" w14:paraId="7DF1C133" w14:textId="77777777" w:rsidTr="002C5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 w:type="dxa"/>
          </w:tcPr>
          <w:p w14:paraId="61FB45FB" w14:textId="77777777" w:rsidR="00532BDC" w:rsidRPr="00532BDC" w:rsidRDefault="00532BDC" w:rsidP="002C5A6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2</w:t>
            </w:r>
          </w:p>
        </w:tc>
        <w:tc>
          <w:tcPr>
            <w:tcW w:w="3031" w:type="dxa"/>
          </w:tcPr>
          <w:p w14:paraId="7FB89F8C" w14:textId="77777777" w:rsidR="00532BDC" w:rsidRPr="00532BDC" w:rsidRDefault="00532BDC" w:rsidP="002C5A6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МУИС</w:t>
            </w:r>
          </w:p>
        </w:tc>
        <w:tc>
          <w:tcPr>
            <w:tcW w:w="1059" w:type="dxa"/>
          </w:tcPr>
          <w:p w14:paraId="68CDB73E"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16.6</w:t>
            </w:r>
          </w:p>
        </w:tc>
        <w:tc>
          <w:tcPr>
            <w:tcW w:w="990" w:type="dxa"/>
          </w:tcPr>
          <w:p w14:paraId="36FBA941"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22.2</w:t>
            </w:r>
          </w:p>
        </w:tc>
        <w:tc>
          <w:tcPr>
            <w:tcW w:w="990" w:type="dxa"/>
          </w:tcPr>
          <w:p w14:paraId="6F98F362"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8.3</w:t>
            </w:r>
          </w:p>
        </w:tc>
        <w:tc>
          <w:tcPr>
            <w:tcW w:w="2070" w:type="dxa"/>
          </w:tcPr>
          <w:p w14:paraId="59BDEF76"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52.7</w:t>
            </w:r>
          </w:p>
        </w:tc>
        <w:tc>
          <w:tcPr>
            <w:tcW w:w="900" w:type="dxa"/>
          </w:tcPr>
          <w:p w14:paraId="66985B41"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100</w:t>
            </w:r>
          </w:p>
        </w:tc>
      </w:tr>
      <w:tr w:rsidR="00532BDC" w:rsidRPr="00532BDC" w14:paraId="666E693A" w14:textId="77777777" w:rsidTr="002C5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 w:type="dxa"/>
          </w:tcPr>
          <w:p w14:paraId="3E8DB3A5" w14:textId="77777777" w:rsidR="00532BDC" w:rsidRPr="00532BDC" w:rsidRDefault="00532BDC" w:rsidP="002C5A6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3</w:t>
            </w:r>
          </w:p>
        </w:tc>
        <w:tc>
          <w:tcPr>
            <w:tcW w:w="3031" w:type="dxa"/>
          </w:tcPr>
          <w:p w14:paraId="5D318CFE" w14:textId="77777777" w:rsidR="00532BDC" w:rsidRPr="00532BDC" w:rsidRDefault="00532BDC" w:rsidP="002C5A6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Шинжлэх ухааны академи</w:t>
            </w:r>
          </w:p>
        </w:tc>
        <w:tc>
          <w:tcPr>
            <w:tcW w:w="1059" w:type="dxa"/>
          </w:tcPr>
          <w:p w14:paraId="50FAD420"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5.7</w:t>
            </w:r>
          </w:p>
        </w:tc>
        <w:tc>
          <w:tcPr>
            <w:tcW w:w="990" w:type="dxa"/>
          </w:tcPr>
          <w:p w14:paraId="41A8A006"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17.1</w:t>
            </w:r>
          </w:p>
        </w:tc>
        <w:tc>
          <w:tcPr>
            <w:tcW w:w="990" w:type="dxa"/>
          </w:tcPr>
          <w:p w14:paraId="7D0FDC32"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5.7</w:t>
            </w:r>
          </w:p>
        </w:tc>
        <w:tc>
          <w:tcPr>
            <w:tcW w:w="2070" w:type="dxa"/>
          </w:tcPr>
          <w:p w14:paraId="647F5815"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71.4</w:t>
            </w:r>
          </w:p>
        </w:tc>
        <w:tc>
          <w:tcPr>
            <w:tcW w:w="900" w:type="dxa"/>
          </w:tcPr>
          <w:p w14:paraId="04630974"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mn-MN"/>
              </w:rPr>
            </w:pPr>
            <w:r w:rsidRPr="00532BDC">
              <w:rPr>
                <w:rFonts w:ascii="Times New Roman" w:hAnsi="Times New Roman" w:cs="Times New Roman"/>
                <w:sz w:val="24"/>
                <w:szCs w:val="24"/>
                <w:lang w:val="mn-MN"/>
              </w:rPr>
              <w:t>100</w:t>
            </w:r>
          </w:p>
        </w:tc>
      </w:tr>
    </w:tbl>
    <w:p w14:paraId="34C7B7DA" w14:textId="77777777" w:rsidR="00532BDC" w:rsidRPr="00532BDC" w:rsidRDefault="00532BDC" w:rsidP="00532BDC">
      <w:pPr>
        <w:jc w:val="both"/>
        <w:rPr>
          <w:rFonts w:ascii="Times New Roman" w:hAnsi="Times New Roman" w:cs="Times New Roman"/>
          <w:sz w:val="24"/>
          <w:szCs w:val="24"/>
          <w:lang w:val="mn-MN"/>
        </w:rPr>
      </w:pPr>
    </w:p>
    <w:p w14:paraId="6CE5019B" w14:textId="77777777" w:rsidR="00532BDC" w:rsidRPr="00532BDC" w:rsidRDefault="00532BDC" w:rsidP="00532BDC">
      <w:pPr>
        <w:jc w:val="both"/>
        <w:rPr>
          <w:rFonts w:ascii="Times New Roman" w:hAnsi="Times New Roman" w:cs="Times New Roman"/>
          <w:i/>
          <w:sz w:val="24"/>
          <w:szCs w:val="24"/>
          <w:lang w:val="mn-MN"/>
        </w:rPr>
      </w:pPr>
      <w:r w:rsidRPr="00532BDC">
        <w:rPr>
          <w:rFonts w:ascii="Times New Roman" w:hAnsi="Times New Roman" w:cs="Times New Roman"/>
          <w:sz w:val="24"/>
          <w:szCs w:val="24"/>
          <w:lang w:val="mn-MN"/>
        </w:rPr>
        <w:t xml:space="preserve">Дэлхий дахины өрсөлдөх чадварын тайланд монголын их дээд сургуулиудын сургалт, судалгааны үйлчилгээний хангамж, дээд боловсролын байгууллага, аж үйлдвэрийн судалгааны хамтын ажиллагаа, шинжлэх ухааны судалгааны байгууллагын чанар гэсэн гурван үзүүлэлт хэрхэн хувьсаж өөрчлөгдөж ирснийг харьцуулсан. </w:t>
      </w:r>
      <w:r w:rsidRPr="00532BDC">
        <w:rPr>
          <w:rFonts w:ascii="Times New Roman" w:hAnsi="Times New Roman" w:cs="Times New Roman"/>
          <w:i/>
          <w:sz w:val="24"/>
          <w:szCs w:val="24"/>
          <w:lang w:val="mn-MN"/>
        </w:rPr>
        <w:t>(Хүснэгт 2, Хүснэгт 3)</w:t>
      </w:r>
    </w:p>
    <w:p w14:paraId="287B883A" w14:textId="77777777" w:rsidR="00532BDC" w:rsidRPr="00532BDC" w:rsidRDefault="00532BDC" w:rsidP="00532BDC">
      <w:pPr>
        <w:jc w:val="both"/>
        <w:rPr>
          <w:rFonts w:ascii="Times New Roman" w:hAnsi="Times New Roman" w:cs="Times New Roman"/>
          <w:i/>
          <w:sz w:val="24"/>
          <w:szCs w:val="24"/>
          <w:lang w:val="mn-MN"/>
        </w:rPr>
      </w:pPr>
      <w:r w:rsidRPr="00532BDC">
        <w:rPr>
          <w:rFonts w:ascii="Times New Roman" w:hAnsi="Times New Roman" w:cs="Times New Roman"/>
          <w:i/>
          <w:sz w:val="24"/>
          <w:szCs w:val="24"/>
          <w:lang w:val="mn-MN"/>
        </w:rPr>
        <w:t xml:space="preserve">Хүснэгт 2 Монголын их дээд сургуулийн өрсөлдөх чадвар (оноогоор) </w:t>
      </w:r>
    </w:p>
    <w:tbl>
      <w:tblPr>
        <w:tblStyle w:val="LightGrid-Accent5"/>
        <w:tblW w:w="0" w:type="auto"/>
        <w:tblInd w:w="108" w:type="dxa"/>
        <w:tblLook w:val="04A0" w:firstRow="1" w:lastRow="0" w:firstColumn="1" w:lastColumn="0" w:noHBand="0" w:noVBand="1"/>
      </w:tblPr>
      <w:tblGrid>
        <w:gridCol w:w="5090"/>
        <w:gridCol w:w="893"/>
        <w:gridCol w:w="808"/>
        <w:gridCol w:w="808"/>
        <w:gridCol w:w="808"/>
        <w:gridCol w:w="825"/>
      </w:tblGrid>
      <w:tr w:rsidR="00532BDC" w:rsidRPr="00532BDC" w14:paraId="38A53824" w14:textId="77777777" w:rsidTr="002C5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2625E8B9" w14:textId="77777777" w:rsidR="00532BDC" w:rsidRPr="00532BDC" w:rsidRDefault="00532BDC" w:rsidP="002C5A6C">
            <w:pPr>
              <w:jc w:val="both"/>
              <w:rPr>
                <w:rFonts w:ascii="Times New Roman" w:eastAsia="Times New Roman" w:hAnsi="Times New Roman" w:cs="Times New Roman"/>
                <w:b w:val="0"/>
                <w:bCs w:val="0"/>
                <w:color w:val="000000"/>
                <w:sz w:val="24"/>
                <w:szCs w:val="24"/>
                <w:lang w:val="mn-MN"/>
              </w:rPr>
            </w:pPr>
            <w:proofErr w:type="spellStart"/>
            <w:r w:rsidRPr="00532BDC">
              <w:rPr>
                <w:rFonts w:ascii="Times New Roman" w:eastAsia="Times New Roman" w:hAnsi="Times New Roman" w:cs="Times New Roman"/>
                <w:color w:val="000000"/>
                <w:sz w:val="24"/>
                <w:szCs w:val="24"/>
              </w:rPr>
              <w:t>Ерөнхий</w:t>
            </w:r>
            <w:proofErr w:type="spellEnd"/>
            <w:r w:rsidRPr="00532BDC">
              <w:rPr>
                <w:rFonts w:ascii="Times New Roman" w:eastAsia="Times New Roman" w:hAnsi="Times New Roman" w:cs="Times New Roman"/>
                <w:color w:val="000000"/>
                <w:sz w:val="24"/>
                <w:szCs w:val="24"/>
                <w:lang w:val="mn-MN"/>
              </w:rPr>
              <w:t xml:space="preserve"> </w:t>
            </w:r>
            <w:proofErr w:type="spellStart"/>
            <w:r w:rsidRPr="00532BDC">
              <w:rPr>
                <w:rFonts w:ascii="Times New Roman" w:eastAsia="Times New Roman" w:hAnsi="Times New Roman" w:cs="Times New Roman"/>
                <w:color w:val="000000"/>
                <w:sz w:val="24"/>
                <w:szCs w:val="24"/>
              </w:rPr>
              <w:t>үзүүлэлт</w:t>
            </w:r>
            <w:proofErr w:type="spellEnd"/>
            <w:r w:rsidRPr="00532BDC">
              <w:rPr>
                <w:rFonts w:ascii="Times New Roman" w:eastAsia="Times New Roman" w:hAnsi="Times New Roman" w:cs="Times New Roman"/>
                <w:color w:val="000000"/>
                <w:sz w:val="24"/>
                <w:szCs w:val="24"/>
              </w:rPr>
              <w:t xml:space="preserve">, </w:t>
            </w:r>
            <w:r w:rsidRPr="00532BDC">
              <w:rPr>
                <w:rFonts w:ascii="Times New Roman" w:eastAsia="Times New Roman" w:hAnsi="Times New Roman" w:cs="Times New Roman"/>
                <w:color w:val="000000"/>
                <w:sz w:val="24"/>
                <w:szCs w:val="24"/>
                <w:lang w:val="mn-MN"/>
              </w:rPr>
              <w:t>оноогоор</w:t>
            </w:r>
          </w:p>
        </w:tc>
        <w:tc>
          <w:tcPr>
            <w:tcW w:w="900" w:type="dxa"/>
          </w:tcPr>
          <w:p w14:paraId="175DB7E8"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532BDC">
              <w:rPr>
                <w:rFonts w:ascii="Times New Roman" w:eastAsia="Times New Roman" w:hAnsi="Times New Roman" w:cs="Times New Roman"/>
                <w:color w:val="000000"/>
                <w:sz w:val="24"/>
                <w:szCs w:val="24"/>
                <w:lang w:val="mn-MN"/>
              </w:rPr>
              <w:t>2005</w:t>
            </w:r>
            <w:r w:rsidRPr="00532BDC">
              <w:rPr>
                <w:rFonts w:ascii="Times New Roman" w:eastAsia="Times New Roman" w:hAnsi="Times New Roman" w:cs="Times New Roman"/>
                <w:color w:val="000000"/>
                <w:sz w:val="24"/>
                <w:szCs w:val="24"/>
              </w:rPr>
              <w:t>-2006</w:t>
            </w:r>
          </w:p>
        </w:tc>
        <w:tc>
          <w:tcPr>
            <w:tcW w:w="810" w:type="dxa"/>
          </w:tcPr>
          <w:p w14:paraId="016509B0"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532BDC">
              <w:rPr>
                <w:rFonts w:ascii="Times New Roman" w:eastAsia="Times New Roman" w:hAnsi="Times New Roman" w:cs="Times New Roman"/>
                <w:color w:val="000000"/>
                <w:sz w:val="24"/>
                <w:szCs w:val="24"/>
              </w:rPr>
              <w:t>2011-2012</w:t>
            </w:r>
          </w:p>
        </w:tc>
        <w:tc>
          <w:tcPr>
            <w:tcW w:w="810" w:type="dxa"/>
          </w:tcPr>
          <w:p w14:paraId="1C316694"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532BDC">
              <w:rPr>
                <w:rFonts w:ascii="Times New Roman" w:eastAsia="Times New Roman" w:hAnsi="Times New Roman" w:cs="Times New Roman"/>
                <w:color w:val="000000"/>
                <w:sz w:val="24"/>
                <w:szCs w:val="24"/>
              </w:rPr>
              <w:t>2012-2013</w:t>
            </w:r>
          </w:p>
        </w:tc>
        <w:tc>
          <w:tcPr>
            <w:tcW w:w="810" w:type="dxa"/>
          </w:tcPr>
          <w:p w14:paraId="2E38F3BD"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532BDC">
              <w:rPr>
                <w:rFonts w:ascii="Times New Roman" w:eastAsia="Times New Roman" w:hAnsi="Times New Roman" w:cs="Times New Roman"/>
                <w:color w:val="000000"/>
                <w:sz w:val="24"/>
                <w:szCs w:val="24"/>
              </w:rPr>
              <w:t>2013-2014</w:t>
            </w:r>
          </w:p>
        </w:tc>
        <w:tc>
          <w:tcPr>
            <w:tcW w:w="828" w:type="dxa"/>
          </w:tcPr>
          <w:p w14:paraId="59EB72F0"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532BDC">
              <w:rPr>
                <w:rFonts w:ascii="Times New Roman" w:eastAsia="Times New Roman" w:hAnsi="Times New Roman" w:cs="Times New Roman"/>
                <w:color w:val="000000"/>
                <w:sz w:val="24"/>
                <w:szCs w:val="24"/>
              </w:rPr>
              <w:t>2014-2016</w:t>
            </w:r>
          </w:p>
        </w:tc>
      </w:tr>
      <w:tr w:rsidR="00532BDC" w:rsidRPr="00532BDC" w14:paraId="412A7669" w14:textId="77777777" w:rsidTr="002C5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3567A23B"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Их дээд сургуулиудын сургалт, судалгааны үйлчилгээний хангамж</w:t>
            </w:r>
          </w:p>
        </w:tc>
        <w:tc>
          <w:tcPr>
            <w:tcW w:w="900" w:type="dxa"/>
            <w:vAlign w:val="center"/>
          </w:tcPr>
          <w:p w14:paraId="63C79383"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810" w:type="dxa"/>
            <w:vAlign w:val="center"/>
          </w:tcPr>
          <w:p w14:paraId="7A72FFDF"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2,2</w:t>
            </w:r>
          </w:p>
        </w:tc>
        <w:tc>
          <w:tcPr>
            <w:tcW w:w="810" w:type="dxa"/>
            <w:vAlign w:val="center"/>
          </w:tcPr>
          <w:p w14:paraId="28CF14CF"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2,5</w:t>
            </w:r>
          </w:p>
        </w:tc>
        <w:tc>
          <w:tcPr>
            <w:tcW w:w="810" w:type="dxa"/>
            <w:vAlign w:val="center"/>
          </w:tcPr>
          <w:p w14:paraId="2B5E1A59"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2,7</w:t>
            </w:r>
          </w:p>
        </w:tc>
        <w:tc>
          <w:tcPr>
            <w:tcW w:w="828" w:type="dxa"/>
            <w:vAlign w:val="center"/>
          </w:tcPr>
          <w:p w14:paraId="5425974E"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2,8</w:t>
            </w:r>
          </w:p>
        </w:tc>
      </w:tr>
      <w:tr w:rsidR="00532BDC" w:rsidRPr="00532BDC" w14:paraId="0338B96A" w14:textId="77777777" w:rsidTr="002C5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150D6347"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Их дээд сургууль, аж үйлдвэрийн судалгааны хамтын ажиллагаа</w:t>
            </w:r>
          </w:p>
        </w:tc>
        <w:tc>
          <w:tcPr>
            <w:tcW w:w="900" w:type="dxa"/>
            <w:vAlign w:val="center"/>
          </w:tcPr>
          <w:p w14:paraId="3DA6590F"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mn-MN"/>
              </w:rPr>
            </w:pPr>
            <w:r w:rsidRPr="00532BDC">
              <w:rPr>
                <w:rFonts w:ascii="Times New Roman" w:eastAsia="Times New Roman" w:hAnsi="Times New Roman" w:cs="Times New Roman"/>
                <w:color w:val="000000"/>
                <w:sz w:val="24"/>
                <w:szCs w:val="24"/>
                <w:lang w:val="mn-MN"/>
              </w:rPr>
              <w:t>2.8</w:t>
            </w:r>
          </w:p>
        </w:tc>
        <w:tc>
          <w:tcPr>
            <w:tcW w:w="810" w:type="dxa"/>
            <w:vAlign w:val="center"/>
          </w:tcPr>
          <w:p w14:paraId="31B36C1E"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3,2</w:t>
            </w:r>
          </w:p>
        </w:tc>
        <w:tc>
          <w:tcPr>
            <w:tcW w:w="810" w:type="dxa"/>
            <w:vAlign w:val="center"/>
          </w:tcPr>
          <w:p w14:paraId="4B47824E"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3,2</w:t>
            </w:r>
          </w:p>
        </w:tc>
        <w:tc>
          <w:tcPr>
            <w:tcW w:w="810" w:type="dxa"/>
            <w:vAlign w:val="center"/>
          </w:tcPr>
          <w:p w14:paraId="115EC826"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3,0</w:t>
            </w:r>
          </w:p>
        </w:tc>
        <w:tc>
          <w:tcPr>
            <w:tcW w:w="828" w:type="dxa"/>
            <w:vAlign w:val="center"/>
          </w:tcPr>
          <w:p w14:paraId="7C311D29"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3,0</w:t>
            </w:r>
          </w:p>
        </w:tc>
      </w:tr>
      <w:tr w:rsidR="00532BDC" w:rsidRPr="00532BDC" w14:paraId="61F17220" w14:textId="77777777" w:rsidTr="002C5A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322DD33A"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Шинжлэх ухааны судалгааны байгууллагын чанар</w:t>
            </w:r>
          </w:p>
        </w:tc>
        <w:tc>
          <w:tcPr>
            <w:tcW w:w="900" w:type="dxa"/>
            <w:vAlign w:val="center"/>
          </w:tcPr>
          <w:p w14:paraId="230D28FF"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r w:rsidRPr="00532BDC">
              <w:rPr>
                <w:rFonts w:ascii="Times New Roman" w:eastAsia="Times New Roman" w:hAnsi="Times New Roman" w:cs="Times New Roman"/>
                <w:color w:val="000000"/>
                <w:sz w:val="24"/>
                <w:szCs w:val="24"/>
                <w:lang w:val="mn-MN"/>
              </w:rPr>
              <w:t>3.2</w:t>
            </w:r>
          </w:p>
        </w:tc>
        <w:tc>
          <w:tcPr>
            <w:tcW w:w="810" w:type="dxa"/>
            <w:vAlign w:val="center"/>
          </w:tcPr>
          <w:p w14:paraId="4AEA8FB5"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2,9</w:t>
            </w:r>
          </w:p>
        </w:tc>
        <w:tc>
          <w:tcPr>
            <w:tcW w:w="810" w:type="dxa"/>
            <w:vAlign w:val="center"/>
          </w:tcPr>
          <w:p w14:paraId="23980120"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3,2</w:t>
            </w:r>
          </w:p>
        </w:tc>
        <w:tc>
          <w:tcPr>
            <w:tcW w:w="810" w:type="dxa"/>
            <w:vAlign w:val="center"/>
          </w:tcPr>
          <w:p w14:paraId="196FF175"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3,3</w:t>
            </w:r>
          </w:p>
        </w:tc>
        <w:tc>
          <w:tcPr>
            <w:tcW w:w="828" w:type="dxa"/>
            <w:vAlign w:val="center"/>
          </w:tcPr>
          <w:p w14:paraId="768EDE42"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3,1</w:t>
            </w:r>
          </w:p>
        </w:tc>
      </w:tr>
    </w:tbl>
    <w:p w14:paraId="06B421E6" w14:textId="77777777" w:rsidR="00532BDC" w:rsidRPr="00532BDC" w:rsidRDefault="00532BDC" w:rsidP="00532BDC">
      <w:pPr>
        <w:jc w:val="both"/>
        <w:rPr>
          <w:rFonts w:ascii="Times New Roman" w:hAnsi="Times New Roman" w:cs="Times New Roman"/>
          <w:sz w:val="24"/>
          <w:szCs w:val="24"/>
          <w:lang w:val="mn-MN"/>
        </w:rPr>
      </w:pPr>
    </w:p>
    <w:p w14:paraId="47853A17" w14:textId="77777777" w:rsidR="00532BDC" w:rsidRPr="00532BDC" w:rsidRDefault="00532BDC" w:rsidP="00532BDC">
      <w:pPr>
        <w:jc w:val="both"/>
        <w:rPr>
          <w:rFonts w:ascii="Times New Roman" w:hAnsi="Times New Roman" w:cs="Times New Roman"/>
          <w:i/>
          <w:sz w:val="24"/>
          <w:szCs w:val="24"/>
          <w:lang w:val="mn-MN"/>
        </w:rPr>
      </w:pPr>
      <w:r w:rsidRPr="00532BDC">
        <w:rPr>
          <w:rFonts w:ascii="Times New Roman" w:hAnsi="Times New Roman" w:cs="Times New Roman"/>
          <w:sz w:val="24"/>
          <w:szCs w:val="24"/>
          <w:lang w:val="mn-MN"/>
        </w:rPr>
        <w:t xml:space="preserve">Хүснэгт 3 </w:t>
      </w:r>
      <w:r w:rsidRPr="00532BDC">
        <w:rPr>
          <w:rFonts w:ascii="Times New Roman" w:hAnsi="Times New Roman" w:cs="Times New Roman"/>
          <w:i/>
          <w:sz w:val="24"/>
          <w:szCs w:val="24"/>
          <w:lang w:val="mn-MN"/>
        </w:rPr>
        <w:t xml:space="preserve">Хүснэгт 2 Монголын их дээд сургуулийн өрсөлдөх чадвар (байраар) </w:t>
      </w:r>
    </w:p>
    <w:tbl>
      <w:tblPr>
        <w:tblStyle w:val="LightGrid-Accent5"/>
        <w:tblW w:w="9476" w:type="dxa"/>
        <w:tblInd w:w="108" w:type="dxa"/>
        <w:tblLook w:val="04A0" w:firstRow="1" w:lastRow="0" w:firstColumn="1" w:lastColumn="0" w:noHBand="0" w:noVBand="1"/>
      </w:tblPr>
      <w:tblGrid>
        <w:gridCol w:w="3179"/>
        <w:gridCol w:w="776"/>
        <w:gridCol w:w="776"/>
        <w:gridCol w:w="793"/>
        <w:gridCol w:w="794"/>
        <w:gridCol w:w="794"/>
        <w:gridCol w:w="794"/>
        <w:gridCol w:w="794"/>
        <w:gridCol w:w="776"/>
      </w:tblGrid>
      <w:tr w:rsidR="00532BDC" w:rsidRPr="00532BDC" w14:paraId="7B571898" w14:textId="77777777" w:rsidTr="002C5A6C">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308" w:type="dxa"/>
          </w:tcPr>
          <w:p w14:paraId="5D124D69" w14:textId="77777777" w:rsidR="00532BDC" w:rsidRPr="00532BDC" w:rsidRDefault="00532BDC" w:rsidP="002C5A6C">
            <w:pPr>
              <w:jc w:val="both"/>
              <w:rPr>
                <w:rFonts w:ascii="Times New Roman" w:hAnsi="Times New Roman" w:cs="Times New Roman"/>
                <w:i/>
                <w:sz w:val="24"/>
                <w:szCs w:val="24"/>
                <w:lang w:val="mn-MN"/>
              </w:rPr>
            </w:pPr>
            <w:proofErr w:type="spellStart"/>
            <w:r w:rsidRPr="00532BDC">
              <w:rPr>
                <w:rFonts w:ascii="Times New Roman" w:eastAsia="Times New Roman" w:hAnsi="Times New Roman" w:cs="Times New Roman"/>
                <w:color w:val="000000"/>
                <w:sz w:val="24"/>
                <w:szCs w:val="24"/>
              </w:rPr>
              <w:lastRenderedPageBreak/>
              <w:t>Ерөнхий</w:t>
            </w:r>
            <w:proofErr w:type="spellEnd"/>
            <w:r w:rsidRPr="00532BDC">
              <w:rPr>
                <w:rFonts w:ascii="Times New Roman" w:eastAsia="Times New Roman" w:hAnsi="Times New Roman" w:cs="Times New Roman"/>
                <w:bCs w:val="0"/>
                <w:color w:val="000000"/>
                <w:sz w:val="24"/>
                <w:szCs w:val="24"/>
                <w:lang w:val="mn-MN"/>
              </w:rPr>
              <w:t xml:space="preserve"> </w:t>
            </w:r>
            <w:proofErr w:type="spellStart"/>
            <w:r w:rsidRPr="00532BDC">
              <w:rPr>
                <w:rFonts w:ascii="Times New Roman" w:eastAsia="Times New Roman" w:hAnsi="Times New Roman" w:cs="Times New Roman"/>
                <w:color w:val="000000"/>
                <w:sz w:val="24"/>
                <w:szCs w:val="24"/>
              </w:rPr>
              <w:t>үзүүлэлт</w:t>
            </w:r>
            <w:proofErr w:type="spellEnd"/>
            <w:r w:rsidRPr="00532BDC">
              <w:rPr>
                <w:rFonts w:ascii="Times New Roman" w:eastAsia="Times New Roman" w:hAnsi="Times New Roman" w:cs="Times New Roman"/>
                <w:color w:val="000000"/>
                <w:sz w:val="24"/>
                <w:szCs w:val="24"/>
              </w:rPr>
              <w:t xml:space="preserve">, </w:t>
            </w:r>
            <w:r w:rsidRPr="00532BDC">
              <w:rPr>
                <w:rFonts w:ascii="Times New Roman" w:eastAsia="Times New Roman" w:hAnsi="Times New Roman" w:cs="Times New Roman"/>
                <w:color w:val="000000"/>
                <w:sz w:val="24"/>
                <w:szCs w:val="24"/>
                <w:lang w:val="mn-MN"/>
              </w:rPr>
              <w:t>байраар</w:t>
            </w:r>
          </w:p>
        </w:tc>
        <w:tc>
          <w:tcPr>
            <w:tcW w:w="730" w:type="dxa"/>
          </w:tcPr>
          <w:p w14:paraId="223092CF"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lang w:val="mn-MN"/>
              </w:rPr>
              <w:t>2005</w:t>
            </w:r>
            <w:r w:rsidRPr="00532BDC">
              <w:rPr>
                <w:rFonts w:ascii="Times New Roman" w:eastAsia="Times New Roman" w:hAnsi="Times New Roman" w:cs="Times New Roman"/>
                <w:color w:val="000000"/>
                <w:sz w:val="24"/>
                <w:szCs w:val="24"/>
              </w:rPr>
              <w:t>-2006</w:t>
            </w:r>
          </w:p>
        </w:tc>
        <w:tc>
          <w:tcPr>
            <w:tcW w:w="730" w:type="dxa"/>
          </w:tcPr>
          <w:p w14:paraId="3C7CC4A0"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2008-2009</w:t>
            </w:r>
          </w:p>
        </w:tc>
        <w:tc>
          <w:tcPr>
            <w:tcW w:w="794" w:type="dxa"/>
          </w:tcPr>
          <w:p w14:paraId="198FF529"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2009-2010</w:t>
            </w:r>
          </w:p>
        </w:tc>
        <w:tc>
          <w:tcPr>
            <w:tcW w:w="796" w:type="dxa"/>
          </w:tcPr>
          <w:p w14:paraId="42BCE0DD"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2010-2011</w:t>
            </w:r>
          </w:p>
        </w:tc>
        <w:tc>
          <w:tcPr>
            <w:tcW w:w="796" w:type="dxa"/>
          </w:tcPr>
          <w:p w14:paraId="630B5640"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2011-2012</w:t>
            </w:r>
          </w:p>
        </w:tc>
        <w:tc>
          <w:tcPr>
            <w:tcW w:w="796" w:type="dxa"/>
          </w:tcPr>
          <w:p w14:paraId="44F8B888"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2012-2013</w:t>
            </w:r>
          </w:p>
        </w:tc>
        <w:tc>
          <w:tcPr>
            <w:tcW w:w="796" w:type="dxa"/>
          </w:tcPr>
          <w:p w14:paraId="14CC06BC"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2013-2014</w:t>
            </w:r>
          </w:p>
        </w:tc>
        <w:tc>
          <w:tcPr>
            <w:tcW w:w="730" w:type="dxa"/>
          </w:tcPr>
          <w:p w14:paraId="722B1F27" w14:textId="77777777" w:rsidR="00532BDC" w:rsidRPr="00532BDC" w:rsidRDefault="00532BDC" w:rsidP="002C5A6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r w:rsidRPr="00532BDC">
              <w:rPr>
                <w:rFonts w:ascii="Times New Roman" w:eastAsia="Times New Roman" w:hAnsi="Times New Roman" w:cs="Times New Roman"/>
                <w:color w:val="000000"/>
                <w:sz w:val="24"/>
                <w:szCs w:val="24"/>
              </w:rPr>
              <w:t>2014-2016</w:t>
            </w:r>
          </w:p>
        </w:tc>
      </w:tr>
      <w:tr w:rsidR="00532BDC" w:rsidRPr="00532BDC" w14:paraId="39B1BA5F" w14:textId="77777777" w:rsidTr="002C5A6C">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3308" w:type="dxa"/>
          </w:tcPr>
          <w:p w14:paraId="575781F8"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Их дээд сургуулиудын сургалт, судалгааны үйлчилгээний хангамж</w:t>
            </w:r>
          </w:p>
        </w:tc>
        <w:tc>
          <w:tcPr>
            <w:tcW w:w="730" w:type="dxa"/>
            <w:vAlign w:val="center"/>
          </w:tcPr>
          <w:p w14:paraId="5321DF95"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p>
        </w:tc>
        <w:tc>
          <w:tcPr>
            <w:tcW w:w="730" w:type="dxa"/>
            <w:vAlign w:val="center"/>
          </w:tcPr>
          <w:p w14:paraId="558B44D3"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108</w:t>
            </w:r>
          </w:p>
        </w:tc>
        <w:tc>
          <w:tcPr>
            <w:tcW w:w="794" w:type="dxa"/>
            <w:vAlign w:val="center"/>
          </w:tcPr>
          <w:p w14:paraId="5ADC297E"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133</w:t>
            </w:r>
          </w:p>
        </w:tc>
        <w:tc>
          <w:tcPr>
            <w:tcW w:w="796" w:type="dxa"/>
            <w:vAlign w:val="center"/>
          </w:tcPr>
          <w:p w14:paraId="4B30B49E"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139</w:t>
            </w:r>
          </w:p>
        </w:tc>
        <w:tc>
          <w:tcPr>
            <w:tcW w:w="796" w:type="dxa"/>
            <w:vAlign w:val="center"/>
          </w:tcPr>
          <w:p w14:paraId="268DF62E"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141</w:t>
            </w:r>
          </w:p>
        </w:tc>
        <w:tc>
          <w:tcPr>
            <w:tcW w:w="796" w:type="dxa"/>
            <w:vAlign w:val="center"/>
          </w:tcPr>
          <w:p w14:paraId="2F2A01F4"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141</w:t>
            </w:r>
          </w:p>
        </w:tc>
        <w:tc>
          <w:tcPr>
            <w:tcW w:w="796" w:type="dxa"/>
            <w:vAlign w:val="center"/>
          </w:tcPr>
          <w:p w14:paraId="7999ACCD"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145</w:t>
            </w:r>
          </w:p>
        </w:tc>
        <w:tc>
          <w:tcPr>
            <w:tcW w:w="730" w:type="dxa"/>
            <w:vAlign w:val="center"/>
          </w:tcPr>
          <w:p w14:paraId="17873966"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137</w:t>
            </w:r>
          </w:p>
        </w:tc>
      </w:tr>
      <w:tr w:rsidR="00532BDC" w:rsidRPr="00532BDC" w14:paraId="25A49EB9" w14:textId="77777777" w:rsidTr="002C5A6C">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08" w:type="dxa"/>
          </w:tcPr>
          <w:p w14:paraId="7247B0D1"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Их дээд сургууль, аж үйлдвэрийн судалгааны хамтын ажиллагаа</w:t>
            </w:r>
          </w:p>
        </w:tc>
        <w:tc>
          <w:tcPr>
            <w:tcW w:w="730" w:type="dxa"/>
            <w:vAlign w:val="center"/>
          </w:tcPr>
          <w:p w14:paraId="435727C1"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val="mn-MN"/>
              </w:rPr>
            </w:pPr>
            <w:r w:rsidRPr="00532BDC">
              <w:rPr>
                <w:rFonts w:ascii="Times New Roman" w:eastAsia="Times New Roman" w:hAnsi="Times New Roman" w:cs="Times New Roman"/>
                <w:color w:val="000000"/>
                <w:sz w:val="24"/>
                <w:szCs w:val="24"/>
                <w:lang w:val="mn-MN"/>
              </w:rPr>
              <w:t>67</w:t>
            </w:r>
          </w:p>
        </w:tc>
        <w:tc>
          <w:tcPr>
            <w:tcW w:w="730" w:type="dxa"/>
            <w:vAlign w:val="center"/>
          </w:tcPr>
          <w:p w14:paraId="019CEB43"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96</w:t>
            </w:r>
          </w:p>
        </w:tc>
        <w:tc>
          <w:tcPr>
            <w:tcW w:w="794" w:type="dxa"/>
            <w:vAlign w:val="center"/>
          </w:tcPr>
          <w:p w14:paraId="7BFA1C23"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98</w:t>
            </w:r>
          </w:p>
        </w:tc>
        <w:tc>
          <w:tcPr>
            <w:tcW w:w="796" w:type="dxa"/>
            <w:vAlign w:val="center"/>
          </w:tcPr>
          <w:p w14:paraId="451670C3"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86</w:t>
            </w:r>
          </w:p>
        </w:tc>
        <w:tc>
          <w:tcPr>
            <w:tcW w:w="796" w:type="dxa"/>
            <w:vAlign w:val="center"/>
          </w:tcPr>
          <w:p w14:paraId="08F0CC6C"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97</w:t>
            </w:r>
          </w:p>
        </w:tc>
        <w:tc>
          <w:tcPr>
            <w:tcW w:w="796" w:type="dxa"/>
            <w:vAlign w:val="center"/>
          </w:tcPr>
          <w:p w14:paraId="18DF0E13"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102</w:t>
            </w:r>
          </w:p>
        </w:tc>
        <w:tc>
          <w:tcPr>
            <w:tcW w:w="796" w:type="dxa"/>
            <w:vAlign w:val="center"/>
          </w:tcPr>
          <w:p w14:paraId="402BA347"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114</w:t>
            </w:r>
          </w:p>
        </w:tc>
        <w:tc>
          <w:tcPr>
            <w:tcW w:w="730" w:type="dxa"/>
            <w:vAlign w:val="center"/>
          </w:tcPr>
          <w:p w14:paraId="6523B35B" w14:textId="77777777" w:rsidR="00532BDC" w:rsidRPr="00532BDC" w:rsidRDefault="00532BDC" w:rsidP="002C5A6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114</w:t>
            </w:r>
          </w:p>
        </w:tc>
      </w:tr>
      <w:tr w:rsidR="00532BDC" w:rsidRPr="00532BDC" w14:paraId="02B20E3F" w14:textId="77777777" w:rsidTr="002C5A6C">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3308" w:type="dxa"/>
          </w:tcPr>
          <w:p w14:paraId="3769F1EE" w14:textId="77777777" w:rsidR="00532BDC" w:rsidRPr="00532BDC" w:rsidRDefault="00532BDC" w:rsidP="002C5A6C">
            <w:pPr>
              <w:jc w:val="both"/>
              <w:rPr>
                <w:rFonts w:ascii="Times New Roman" w:hAnsi="Times New Roman" w:cs="Times New Roman"/>
                <w:b w:val="0"/>
                <w:color w:val="000000"/>
                <w:sz w:val="24"/>
                <w:szCs w:val="24"/>
                <w:lang w:val="mn-MN"/>
              </w:rPr>
            </w:pPr>
            <w:r w:rsidRPr="00532BDC">
              <w:rPr>
                <w:rFonts w:ascii="Times New Roman" w:hAnsi="Times New Roman" w:cs="Times New Roman"/>
                <w:b w:val="0"/>
                <w:color w:val="000000"/>
                <w:sz w:val="24"/>
                <w:szCs w:val="24"/>
                <w:lang w:val="mn-MN"/>
              </w:rPr>
              <w:t>Шинжлэх ухааны судалгааны байгууллагын чанар</w:t>
            </w:r>
          </w:p>
        </w:tc>
        <w:tc>
          <w:tcPr>
            <w:tcW w:w="730" w:type="dxa"/>
            <w:vAlign w:val="center"/>
          </w:tcPr>
          <w:p w14:paraId="7672FF50"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mn-MN"/>
              </w:rPr>
            </w:pPr>
            <w:r w:rsidRPr="00532BDC">
              <w:rPr>
                <w:rFonts w:ascii="Times New Roman" w:eastAsia="Times New Roman" w:hAnsi="Times New Roman" w:cs="Times New Roman"/>
                <w:color w:val="000000"/>
                <w:sz w:val="24"/>
                <w:szCs w:val="24"/>
                <w:lang w:val="mn-MN"/>
              </w:rPr>
              <w:t>98</w:t>
            </w:r>
          </w:p>
        </w:tc>
        <w:tc>
          <w:tcPr>
            <w:tcW w:w="730" w:type="dxa"/>
            <w:vAlign w:val="center"/>
          </w:tcPr>
          <w:p w14:paraId="34B9A7AF"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110</w:t>
            </w:r>
          </w:p>
        </w:tc>
        <w:tc>
          <w:tcPr>
            <w:tcW w:w="794" w:type="dxa"/>
            <w:vAlign w:val="center"/>
          </w:tcPr>
          <w:p w14:paraId="5162B592"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106</w:t>
            </w:r>
          </w:p>
        </w:tc>
        <w:tc>
          <w:tcPr>
            <w:tcW w:w="796" w:type="dxa"/>
            <w:vAlign w:val="center"/>
          </w:tcPr>
          <w:p w14:paraId="52DC8970"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111</w:t>
            </w:r>
          </w:p>
        </w:tc>
        <w:tc>
          <w:tcPr>
            <w:tcW w:w="796" w:type="dxa"/>
            <w:vAlign w:val="center"/>
          </w:tcPr>
          <w:p w14:paraId="71918100"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110</w:t>
            </w:r>
          </w:p>
        </w:tc>
        <w:tc>
          <w:tcPr>
            <w:tcW w:w="796" w:type="dxa"/>
            <w:vAlign w:val="center"/>
          </w:tcPr>
          <w:p w14:paraId="760ECBBE"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105</w:t>
            </w:r>
          </w:p>
        </w:tc>
        <w:tc>
          <w:tcPr>
            <w:tcW w:w="796" w:type="dxa"/>
            <w:vAlign w:val="center"/>
          </w:tcPr>
          <w:p w14:paraId="30AB23B2"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99</w:t>
            </w:r>
          </w:p>
        </w:tc>
        <w:tc>
          <w:tcPr>
            <w:tcW w:w="730" w:type="dxa"/>
            <w:vAlign w:val="center"/>
          </w:tcPr>
          <w:p w14:paraId="30853E41" w14:textId="77777777" w:rsidR="00532BDC" w:rsidRPr="00532BDC" w:rsidRDefault="00532BDC" w:rsidP="002C5A6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532BDC">
              <w:rPr>
                <w:rFonts w:ascii="Times New Roman" w:hAnsi="Times New Roman" w:cs="Times New Roman"/>
                <w:color w:val="000000"/>
                <w:sz w:val="24"/>
                <w:szCs w:val="24"/>
              </w:rPr>
              <w:t>107</w:t>
            </w:r>
          </w:p>
        </w:tc>
      </w:tr>
    </w:tbl>
    <w:p w14:paraId="03D93712" w14:textId="77777777" w:rsidR="00532BDC" w:rsidRPr="00532BDC" w:rsidRDefault="00532BDC" w:rsidP="00532BDC">
      <w:pPr>
        <w:jc w:val="both"/>
        <w:rPr>
          <w:rFonts w:ascii="Times New Roman" w:hAnsi="Times New Roman" w:cs="Times New Roman"/>
          <w:sz w:val="24"/>
          <w:szCs w:val="24"/>
          <w:lang w:val="mn-MN"/>
        </w:rPr>
      </w:pPr>
    </w:p>
    <w:p w14:paraId="3F225926"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Өрсөлдөх чадварын тайланд их дээд сургуулиудын сургалт, судалгааны үйлчилгээний хангамж 2012 онд 2.2 оноотой байсан бол улмаар 2014 оны байдлаар 2.8 оноо болж өссөн байна. Бусад орнуудтай харьцуулж үзвэл 2008 оны байдлаар 108-р байранд байсан бол 2014 онд 137-р байранд орж ерөнхийдөө хойшилсоор байна.</w:t>
      </w:r>
      <w:r w:rsidRPr="00532BDC">
        <w:rPr>
          <w:rFonts w:ascii="Times New Roman" w:hAnsi="Times New Roman" w:cs="Times New Roman"/>
          <w:i/>
          <w:sz w:val="24"/>
          <w:szCs w:val="24"/>
          <w:lang w:val="mn-MN"/>
        </w:rPr>
        <w:t xml:space="preserve"> </w:t>
      </w:r>
      <w:r w:rsidRPr="00532BDC">
        <w:rPr>
          <w:rFonts w:ascii="Times New Roman" w:hAnsi="Times New Roman" w:cs="Times New Roman"/>
          <w:sz w:val="24"/>
          <w:szCs w:val="24"/>
          <w:lang w:val="mn-MN"/>
        </w:rPr>
        <w:t>Эндээс ерөнхий оноо ба бусад орнуудтай харьцуулсан байршил мөн дундаж оноогоор монголын их дээд сургуулиудын сургалт, судалгааны үйлчилгээний хангамж ихээхэн муу гэж дүгнэгдэж байгаа юм.</w:t>
      </w:r>
    </w:p>
    <w:p w14:paraId="23C2ECB4"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Их дээд сургууль, аж үйлдвэрийн судалгааны хамтын ажиллагаа нь 2005 оны байдлаар 2.8 оноотой байсан бол 2011 онд 3.2 оноотой болж сайжраад улмаар 2015 оны байдлаар 3 оноотой болж буурчээ. </w:t>
      </w:r>
    </w:p>
    <w:p w14:paraId="07FF88CA"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Харин бусад орнуудтай харьцуулсан байрны хувьд 2005 онд 67-р байрнаас 2011 онд 97-р байр руу хойшилж улмаар 2014 онд 114-р байр руу буюу 2005 онтой харьцуулж үзвэл тавь гаруй орноор хойшилсон байна. Хүснэгтээс манай улсын их дээд сургууль, аж үйлдвэрийн салбар хоорондын судалгааны хамтын ажилгаанд эзлэх байрлалд бага зэргийн өөрчлөлт орсон байхад бусад орнуудын энэ үзүүлэлт огцом сайжирч байгааг харж болох бөгөөд хэрвээ бид их дээд сургуулиуд болон аж үйлдвэрийн салбарын судалгааны хамтын анжилгаанд анхаарал хандуулахгүй бол цаашид манай орны эзлэх байр суурь олон улсад өрсөлдөх чадвар улам бүр хойшлох нь тодорхой байна. </w:t>
      </w:r>
    </w:p>
    <w:p w14:paraId="712F673A"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 Шинжлэх ухааны судалгааны байгууллын чанарын үзүүлэлтээр 2005 онд Монгол орон 3.2 оноо авч байсан бол 2011 онд 2.9 оноо болж буурсан. 2014 онд эргээд 3.1 оноо болсон. Товчоор бол байрандаа эргэлдээд байсан л гэсэн үг. Харин өрсөлдөх чадварын хувьд бусад орнуудтай харьцуулбал 2005 онд 98-р байранд байсан бол 2011 онд 110 байр болж хойшилсон бөгөөд улмаар 2014 онд 107 байранд оржээ. Уг үзүүлэлтийн хувьд ч мөн адил бид бусад орнуудаас хоцорч байна гэдэг нь маш тодорхой харагдаж байгаа юм.</w:t>
      </w:r>
    </w:p>
    <w:p w14:paraId="4297FE9A"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lastRenderedPageBreak/>
        <w:t>Үүнээс гадна 2015 онд хийгдсэн “Монгол улсын аж үйлдвэрийн салбаруудын технологийн түвшний үнэлгээ, технологийн бэлэн байдал” бодлогын судалгаанд их дээд сургуулиудын эрдэм шинжилгээ, судалгаа, технологийн ажлын үр дүнгийн нийлүүлэлтийн хэсэг дээр хийсэн кейс судалгааны үр дүнгээс харахад МУИС, ШУТИС, ХААИС гэсэн гурван сургуулийн жишээн дээр авч үзэхэд “манай аж үйлдвэрийн салбарын инновацийн эрчимжилт төдийлөн хангалттай бус байгаа бөгөөд энэ чиглэлд тэргүүлэх их сургуулиуд үйлдвэрлэгчдийн өргөн хүрээтэй хамтын ажиллагаа төлөвшиж эхлэх шатанд байна. Их сургуулиудын эрдэм шинжилгээний ажлын дийлэнхи хэсэг улсын төсвийн санхүүжилтээр хийгдэж байгаа бол үйлдвэрчлэгчдийн дийлэнхийн хувьд судалгаа, хөгжлийн бүтэц байхгүй, энэ чиглэлд огт хөрөнгө зарахгүй байгаа юм. Энэ нь үндэсний технологийн эрэлтийг зөвхөн импортоор хангаж, технологийн нийлүүлэлтийг дотооддоо эрчимжүүлэх бодит орчин бүрдээгүй байгааг харуулж байна” гэжээ</w:t>
      </w:r>
      <w:sdt>
        <w:sdtPr>
          <w:rPr>
            <w:rFonts w:ascii="Times New Roman" w:hAnsi="Times New Roman" w:cs="Times New Roman"/>
            <w:sz w:val="24"/>
            <w:szCs w:val="24"/>
            <w:lang w:val="mn-MN"/>
          </w:rPr>
          <w:id w:val="154497308"/>
          <w:citation/>
        </w:sdtPr>
        <w:sdtContent>
          <w:r w:rsidRPr="00532BDC">
            <w:rPr>
              <w:rFonts w:ascii="Times New Roman" w:hAnsi="Times New Roman" w:cs="Times New Roman"/>
              <w:sz w:val="24"/>
              <w:szCs w:val="24"/>
              <w:lang w:val="mn-MN"/>
            </w:rPr>
            <w:fldChar w:fldCharType="begin"/>
          </w:r>
          <w:r w:rsidRPr="00532BDC">
            <w:rPr>
              <w:rFonts w:ascii="Times New Roman" w:hAnsi="Times New Roman" w:cs="Times New Roman"/>
              <w:sz w:val="24"/>
              <w:szCs w:val="24"/>
              <w:lang w:val="mn-MN"/>
            </w:rPr>
            <w:instrText xml:space="preserve">CITATION Дав15 \p 18 \l 1104 </w:instrText>
          </w:r>
          <w:r w:rsidRPr="00532BDC">
            <w:rPr>
              <w:rFonts w:ascii="Times New Roman" w:hAnsi="Times New Roman" w:cs="Times New Roman"/>
              <w:sz w:val="24"/>
              <w:szCs w:val="24"/>
              <w:lang w:val="mn-MN"/>
            </w:rPr>
            <w:fldChar w:fldCharType="separate"/>
          </w:r>
          <w:r w:rsidRPr="00532BDC">
            <w:rPr>
              <w:rFonts w:ascii="Times New Roman" w:hAnsi="Times New Roman" w:cs="Times New Roman"/>
              <w:noProof/>
              <w:sz w:val="24"/>
              <w:szCs w:val="24"/>
              <w:lang w:val="mn-MN"/>
            </w:rPr>
            <w:t xml:space="preserve"> (Даваасүрэн, 2015, хууд. 18)</w:t>
          </w:r>
          <w:r w:rsidRPr="00532BDC">
            <w:rPr>
              <w:rFonts w:ascii="Times New Roman" w:hAnsi="Times New Roman" w:cs="Times New Roman"/>
              <w:sz w:val="24"/>
              <w:szCs w:val="24"/>
              <w:lang w:val="mn-MN"/>
            </w:rPr>
            <w:fldChar w:fldCharType="end"/>
          </w:r>
        </w:sdtContent>
      </w:sdt>
      <w:r w:rsidRPr="00532BDC">
        <w:rPr>
          <w:rFonts w:ascii="Times New Roman" w:hAnsi="Times New Roman" w:cs="Times New Roman"/>
          <w:sz w:val="24"/>
          <w:szCs w:val="24"/>
          <w:lang w:val="mn-MN"/>
        </w:rPr>
        <w:t xml:space="preserve">. </w:t>
      </w:r>
    </w:p>
    <w:p w14:paraId="5C0F2E63"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Дээрх хэд хэд судалгааны үр дүнгээс өнөөгийн байдлаар их дээд сургуулиуд болон дотоодын аж үйлдвэрийн салбарын хамтын ажиллагаа нь төдийлэн оновчтой бус, үр дүн муу байгаа ба дээд боловсролын байгууллагуудын үйл ажиллагаа нь шинжлэх ухааны үйлдвэрлэл аж үйлдвэрийн салбарын хэрэгцээтэй уялдаагүй болохыг харж болно.</w:t>
      </w:r>
    </w:p>
    <w:p w14:paraId="4D738101" w14:textId="77777777" w:rsidR="00532BDC" w:rsidRPr="00532BDC" w:rsidRDefault="00532BDC" w:rsidP="00532BDC">
      <w:pPr>
        <w:jc w:val="both"/>
        <w:rPr>
          <w:rFonts w:ascii="Times New Roman" w:hAnsi="Times New Roman" w:cs="Times New Roman"/>
          <w:b/>
          <w:sz w:val="24"/>
          <w:szCs w:val="24"/>
          <w:lang w:val="mn-MN"/>
        </w:rPr>
      </w:pPr>
      <w:r w:rsidRPr="00532BDC">
        <w:rPr>
          <w:rFonts w:ascii="Times New Roman" w:hAnsi="Times New Roman" w:cs="Times New Roman"/>
          <w:b/>
          <w:sz w:val="24"/>
          <w:szCs w:val="24"/>
          <w:lang w:val="mn-MN"/>
        </w:rPr>
        <w:t>3. Их дээд сургууль, аж үйлдвэрийн салбар хоорондын хамтын ажиллагааны өнөөгийн байдал</w:t>
      </w:r>
    </w:p>
    <w:p w14:paraId="6328D290"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Аж үйлдвэрийн салбар буюу хувийн хэвшлийн байгууллагуудтай их дээд сургуулиудын хамтын ажиллагааны өнөөгийн байдлыг тодруулах зорилгоор “МУИС”, “ШУТИС”, “МУБИС”, “ХИС”, “Шинэ анагаах”, “Гурван Эрдэнэ” гэсэн зургаан сургуулийг хамруулан ярилцлага ба баримт бичгийн судалгааг хослуулан шинжилгээг хийсэн. </w:t>
      </w:r>
    </w:p>
    <w:p w14:paraId="3022B7EE"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Судалгаанд хамрагдсан сургуулиудын стратегийн төлөвлөгөөнд аж үйлдвэрийн салбартай хэрхэн хамтран ажиллах талаар дэлгэрэнгүй тусгагдаагүй ч хамтран ажиллахыг зорьж ажиллана гэсэн агуулга бүхий үзэл санааг алсын хараа болон ажлын төлөвлөгөөндөө тусгаж өгчээ. </w:t>
      </w:r>
    </w:p>
    <w:p w14:paraId="3EF6E23A"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Үүнээс гадна сургалтын хөтөлбөрийг боловсруулахад ажил олгогч байгууллагуудтай зөвлөлдөх санал авах механизмтай байх нь аж үйлдвэрийн салбар, дээд боловсролын байгууллага хоорондын хамтын ажиллгааг дэмжих, тэдгээрийн уялдаа холбоог сайжруулах нэг гарц юм. Одоогоор МУИС, ШУТИС-аас бусад сургуулиудад албан ёсны ийм механизм бүрдээгүй бөгөөд МУИС-ийн сургалтын хөтөлбөр боловсруулах үйл явцад ажил олгогчийн төлөөлөгчийг оролцуулах санал авах журам нь бүрэн байдлаар институцчилэгдээгүй хэлбэрийн төдий байна. </w:t>
      </w:r>
    </w:p>
    <w:p w14:paraId="2051B0D3"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Их дээд сургуулиуд сургалтын шинэ хөтөлбөрийг боловсруулахдаа аж үйлдвэрийн салбарын  эрэлтийг баримжаалахыг хичээдэг ч энэ нь яг хичээлийн агуулгын хувьд бүрэн дүүрэн хөдөлмөрийн зах зээлийн эрэлтэнд нийцсэн практик ур чадвар олгоход чиглэгдсэн байх нь дутагдалтай хэвээр байгаа юм. </w:t>
      </w:r>
    </w:p>
    <w:p w14:paraId="78F95BC0"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lastRenderedPageBreak/>
        <w:t>Мөн их дээд сургуулиудад төгсөгчдийг аж үйлдвэрийн салбартай холбож ажилладаг албан ёсны алба хэлтэс, мэргэжилтний орон тоо байхгүй байсаар байна. Судалгаа, эрдэм шинжилгээ инновацийн хүрээнд их дээд сургуулиуд болон аж үйлдвэрийн салбарын хамтын ажиллгаа нь хангалтгүй байгаа ба төрийн хэвшлийн томоохон сургуулиуд хувийн хэвшлийн захиалгаар судалгаа хийдэг боловч эдгээр судалгаануудад инноваци, өндөр технологийн биш анхан шатны хэрэгцээний судалгаа голлодог. Түүнчлэн аж үйлдвэрийн салбарын захиалгаар мэргэжлийн түр сургалтыг зохион байгуулах явдал сургуулиудын хувьд цөөн эхлэл төдий байгаа нь тэдний хөтөлбөр компаниудын буюу захиалагчийн хэрэгцээнд бүрэн нийцээгүй, энэ нь  тэдний хэрэгцээг оновчтой тодорхойлж чадаагүйтэй нь шууд холбоотой аж. Гэвч эдгээр сургуулиуд цаашдаа аж үйлдвэрийн салбартай хамтран ажиллах шаардлагатай гэдгийг ойлгож эхэлсэн бөгөөд одоогийн хамтын ажиллагааны хэлбэрүүдээ дараагийн илүү гүнзгий шатанд оруулах хүсэлтэй байгаа нь судалгааны явцад ажиглагдсан болно.</w:t>
      </w:r>
    </w:p>
    <w:p w14:paraId="1141D16F"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Өнөөдрийн байдлаар их дээд сургуулиуд, аж үйлдвэрийн салбар хоорондын хамтын ажиллагааны хамгийн түгээмэл хэлбэр нь оюутны дадлага юм. Иймд оюутнууд ихэвчлэн ямар байгууллагуудад дадлага хийдэг энэхүү дадлага хэр үр өгөөжтэй практик ач холбогдолтойг оюутан хэрхэн үнэлж буйгаар тус байгууллагуудын хамтын ажиллагааг үнэлэх нэг үнэлгээ болно гэж үзсэн. </w:t>
      </w:r>
    </w:p>
    <w:p w14:paraId="250C4C65"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Их дээд сургуулиудын оюутнууд сургалтын хөтөлбөр, төлөвлөгөөний дагуу III болон IV дүгээр ангиас эхлэн дадлагын ажлыг гүйцэтгэдэг. Судалгаанд оролцсон оюутнуудын дадлага хийсэн байгууллагыг салбараар нь авч үзвэл хувийн хэвшилд 36.8%, төрийн өмчийн компанид 18.4%, төрийн байгууллагад 20.8% , хээрийн дадлагыг 24.0 %  тус тус хийжээ.</w:t>
      </w:r>
    </w:p>
    <w:p w14:paraId="63DB7397"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noProof/>
          <w:sz w:val="24"/>
          <w:szCs w:val="24"/>
        </w:rPr>
        <w:drawing>
          <wp:inline distT="0" distB="0" distL="0" distR="0" wp14:anchorId="7FAC5833" wp14:editId="11C09E88">
            <wp:extent cx="5895975" cy="1419225"/>
            <wp:effectExtent l="19050" t="0" r="9525" b="0"/>
            <wp:docPr id="1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EE4AD5"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Судалгаанд оролцсон оюутнуудын 53.6 хувь нь тухайн дадлагын үйл ажиллагааг сайн үр дүнтэй байсан гэж үнэлж байгаа бол 36.8 хувь нь дунд зэрэг, 5.6 хувь ямар ч үр дүнгүй муу байсан гэж тус тус үнэлжээ. </w:t>
      </w:r>
    </w:p>
    <w:p w14:paraId="74B9CB8E"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Тухайн дадлага оюутанд ямар үр өгөөжтэй байсныг тодруулахад 43.5 хувь нь ажил олгогчийн ажлын байрны талаарх мэдээллийг олж авч чадсан сайн үр дүнтэй байсан, 43.5 хувь нь </w:t>
      </w:r>
      <w:r w:rsidRPr="00532BDC">
        <w:rPr>
          <w:rFonts w:ascii="Times New Roman" w:eastAsia="Times New Roman" w:hAnsi="Times New Roman" w:cs="Times New Roman"/>
          <w:color w:val="000000"/>
          <w:sz w:val="24"/>
          <w:szCs w:val="24"/>
          <w:lang w:val="mn-MN"/>
        </w:rPr>
        <w:t xml:space="preserve">ажил олгогчийн ажлын байрны талаар зарим мэдээллийг олж авсан, үр дүн дунд зэрэг байсан, 12.9 хувь нь ажил олгогчийн ажлын байрны талаар мэдээлэл аваагүй, үр дүн муутай байсан гэж дүгнэжээ. </w:t>
      </w:r>
    </w:p>
    <w:p w14:paraId="16C3024C" w14:textId="77777777" w:rsidR="00532BDC" w:rsidRPr="00532BDC" w:rsidRDefault="00532BDC" w:rsidP="00532BDC">
      <w:pPr>
        <w:jc w:val="both"/>
        <w:rPr>
          <w:rFonts w:ascii="Times New Roman" w:hAnsi="Times New Roman" w:cs="Times New Roman"/>
          <w:i/>
          <w:sz w:val="24"/>
          <w:szCs w:val="24"/>
          <w:lang w:val="mn-MN"/>
        </w:rPr>
      </w:pPr>
      <w:r w:rsidRPr="00532BDC">
        <w:rPr>
          <w:rFonts w:ascii="Times New Roman" w:hAnsi="Times New Roman" w:cs="Times New Roman"/>
          <w:sz w:val="24"/>
          <w:szCs w:val="24"/>
          <w:lang w:val="mn-MN"/>
        </w:rPr>
        <w:lastRenderedPageBreak/>
        <w:t xml:space="preserve">Оюутнуудын дадлага хийсэн салбарыг улсын болон хувийн сургуулиар нь харьцуулахад ХУИС, СЭЗДС зэрэг хувийн сургуулийн оюутнууд хувийн компани (29.6%) болон төрийн өмчийн компаниудад (8.8%) дадлагыг ихэвчлэн гүйцэтгэсэн байгаа бол МУИС-ийн оюутнуудын хувьд төрийн байгууллагуудад (8.8%) болон хээрийн дадлагыг (24%) </w:t>
      </w:r>
      <w:r w:rsidRPr="00532BDC">
        <w:rPr>
          <w:rFonts w:ascii="Times New Roman" w:hAnsi="Times New Roman" w:cs="Times New Roman"/>
          <w:sz w:val="24"/>
          <w:szCs w:val="24"/>
        </w:rPr>
        <w:t>(</w:t>
      </w:r>
      <w:r w:rsidRPr="00532BDC">
        <w:rPr>
          <w:rFonts w:ascii="Times New Roman" w:hAnsi="Times New Roman" w:cs="Times New Roman"/>
          <w:sz w:val="24"/>
          <w:szCs w:val="24"/>
          <w:lang w:val="mn-MN"/>
        </w:rPr>
        <w:t>хөдөө орон нутагт</w:t>
      </w:r>
      <w:r w:rsidRPr="00532BDC">
        <w:rPr>
          <w:rFonts w:ascii="Times New Roman" w:hAnsi="Times New Roman" w:cs="Times New Roman"/>
          <w:sz w:val="24"/>
          <w:szCs w:val="24"/>
        </w:rPr>
        <w:t>)</w:t>
      </w:r>
      <w:r w:rsidRPr="00532BDC">
        <w:rPr>
          <w:rFonts w:ascii="Times New Roman" w:hAnsi="Times New Roman" w:cs="Times New Roman"/>
          <w:sz w:val="24"/>
          <w:szCs w:val="24"/>
          <w:lang w:val="mn-MN"/>
        </w:rPr>
        <w:t xml:space="preserve"> гүйцэтгэсэн байдал нь илүү өндөр үзүүлэлтэй байгаа юм. Оюутнууд тухайн байгууллага дээр хийсэн дадлагын ажлын үр дүнг үнэлэхдээ хувийн компани дээр хийгдсэн дадлагын ажлын үр дүнг сайн (19.2%) гэж  үнэлсэн үнэлгээ бусад байгууллагаас харьцангуй өндөр үзүүлэлттэй байна. Харин хээрийн дадлага болон төрийн байгууллагад мөн төрийн өмчийн компанид хийгдсэн дадлагын үр дүнг нэгэн жигд дунд зэргийн үр дүнтэй байсан (24%) гэж үнэлжээ. (</w:t>
      </w:r>
      <w:r w:rsidRPr="00532BDC">
        <w:rPr>
          <w:rFonts w:ascii="Times New Roman" w:hAnsi="Times New Roman" w:cs="Times New Roman"/>
          <w:i/>
          <w:sz w:val="24"/>
          <w:szCs w:val="24"/>
          <w:lang w:val="mn-MN"/>
        </w:rPr>
        <w:t>График-2)</w:t>
      </w:r>
    </w:p>
    <w:p w14:paraId="523BCCE3" w14:textId="77777777" w:rsidR="00532BDC" w:rsidRPr="00532BDC" w:rsidRDefault="00532BDC" w:rsidP="00532BDC">
      <w:pPr>
        <w:jc w:val="both"/>
        <w:rPr>
          <w:rFonts w:ascii="Times New Roman" w:hAnsi="Times New Roman" w:cs="Times New Roman"/>
          <w:i/>
          <w:sz w:val="24"/>
          <w:szCs w:val="24"/>
          <w:lang w:val="mn-MN"/>
        </w:rPr>
      </w:pPr>
      <w:r w:rsidRPr="00532BDC">
        <w:rPr>
          <w:rFonts w:ascii="Times New Roman" w:hAnsi="Times New Roman" w:cs="Times New Roman"/>
          <w:i/>
          <w:noProof/>
          <w:sz w:val="24"/>
          <w:szCs w:val="24"/>
        </w:rPr>
        <w:drawing>
          <wp:inline distT="0" distB="0" distL="0" distR="0" wp14:anchorId="258E8094" wp14:editId="66E777F1">
            <wp:extent cx="5626510" cy="1817225"/>
            <wp:effectExtent l="19050" t="0" r="12290" b="0"/>
            <wp:docPr id="10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3011E8" w14:textId="77777777" w:rsidR="00532BDC" w:rsidRPr="00532BDC" w:rsidRDefault="00532BDC" w:rsidP="00532BDC">
      <w:pPr>
        <w:autoSpaceDE w:val="0"/>
        <w:autoSpaceDN w:val="0"/>
        <w:adjustRightInd w:val="0"/>
        <w:spacing w:after="0"/>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Тухайн байгууллагад гүйцэтгэсэн дадлага оюутанд ямар үр өгөөжтэй байсныг хэв маягчилж харвал хувийн компани болон төрийн байгууллагад дадлага гүйцэтгэсэн оюутнууд тухайн дадлагыг харьцангуй үр өгөөжтэй байсан ба ажил олгогчийн ажлын байрны талаар мэдээлэл авч чадсан, сайн үр дүнтэй байсан (31.5%) гэжээ. Харин төрийн өмчийн компанид болон хээрийн дадлага гүйцэтгэсэн оюутнуудын хувьд дадлагын эерэг үр өгөөжийг харьцангуй бага гэж үнэлсэн ажил олгогчийн ажлын байрны зарим мэдээллийг олж авсан дунд зэргийн үр дүнтэй байсан (21.8) хэмээн дүгнэжээ. (График-3)</w:t>
      </w:r>
    </w:p>
    <w:p w14:paraId="5E2BCB45" w14:textId="77777777" w:rsidR="00532BDC" w:rsidRPr="00532BDC" w:rsidRDefault="00532BDC" w:rsidP="00532BDC">
      <w:pPr>
        <w:autoSpaceDE w:val="0"/>
        <w:autoSpaceDN w:val="0"/>
        <w:adjustRightInd w:val="0"/>
        <w:spacing w:after="0"/>
        <w:jc w:val="both"/>
        <w:rPr>
          <w:rFonts w:ascii="Times New Roman" w:hAnsi="Times New Roman" w:cs="Times New Roman"/>
          <w:sz w:val="24"/>
          <w:szCs w:val="24"/>
          <w:lang w:val="mn-MN"/>
        </w:rPr>
      </w:pPr>
      <w:r w:rsidRPr="00532BDC">
        <w:rPr>
          <w:rFonts w:ascii="Times New Roman" w:hAnsi="Times New Roman" w:cs="Times New Roman"/>
          <w:noProof/>
          <w:sz w:val="24"/>
          <w:szCs w:val="24"/>
        </w:rPr>
        <w:drawing>
          <wp:inline distT="0" distB="0" distL="0" distR="0" wp14:anchorId="58F15202" wp14:editId="3CE4016D">
            <wp:extent cx="5838825" cy="2019300"/>
            <wp:effectExtent l="19050" t="0" r="9525" b="0"/>
            <wp:docPr id="1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21F5AD" w14:textId="77777777" w:rsidR="00532BDC" w:rsidRPr="00532BDC" w:rsidRDefault="00532BDC" w:rsidP="00532BDC">
      <w:pPr>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Оюутны дадлагын хувьд хууль, дүрэм журмын дагуу сургууль бүр тодорхой кредитийн дадлагын ажлыг курсын үе шатнаас хамаарч хоёроос дөрвөн удаа хийж байна. 2016 онд төгсөх хуучин хөтөлбөрөөр суралцаж байгаа оюутнуудын хувьд бакалаврын шатанд заавал </w:t>
      </w:r>
      <w:r w:rsidRPr="00532BDC">
        <w:rPr>
          <w:rFonts w:ascii="Times New Roman" w:hAnsi="Times New Roman" w:cs="Times New Roman"/>
          <w:sz w:val="24"/>
          <w:szCs w:val="24"/>
          <w:lang w:val="mn-MN"/>
        </w:rPr>
        <w:lastRenderedPageBreak/>
        <w:t xml:space="preserve">үзэх ёстой 120 кредитээс 6-9 кредитийг л дадлагаас авч байгаа бөгөөд энэ нь 8 орчим хувийг л эзэлж байна гэсэн үг юм. Ингэхдээ  сургуулиудын хувьд яамнаас жишиг болгож өгсөн журмыг баримталдаг боловч тэрхүү дадлагыг тухайн хувийн хэвшлийн үйл ажиллагаатай бүрэн уялдуулах, албан ёсны болгож институцчилж, тухайн байгууллага албан ёсоор оюутнуудыг хүлээн авч ажиллах дүрэм журмыг боловсруулан гаргах шаардлагатай байна. </w:t>
      </w:r>
    </w:p>
    <w:p w14:paraId="1EDABEFF" w14:textId="77777777" w:rsidR="00532BDC" w:rsidRPr="00532BDC" w:rsidRDefault="00532BDC" w:rsidP="00532BDC">
      <w:pPr>
        <w:autoSpaceDE w:val="0"/>
        <w:autoSpaceDN w:val="0"/>
        <w:adjustRightInd w:val="0"/>
        <w:spacing w:after="0"/>
        <w:jc w:val="both"/>
        <w:rPr>
          <w:rFonts w:ascii="Times New Roman" w:hAnsi="Times New Roman" w:cs="Times New Roman"/>
          <w:b/>
          <w:sz w:val="24"/>
          <w:szCs w:val="24"/>
          <w:lang w:val="mn-MN"/>
        </w:rPr>
      </w:pPr>
    </w:p>
    <w:p w14:paraId="48DE0B9C" w14:textId="77777777" w:rsidR="00532BDC" w:rsidRPr="00532BDC" w:rsidRDefault="00532BDC" w:rsidP="00532BDC">
      <w:pPr>
        <w:autoSpaceDE w:val="0"/>
        <w:autoSpaceDN w:val="0"/>
        <w:adjustRightInd w:val="0"/>
        <w:spacing w:after="0"/>
        <w:jc w:val="both"/>
        <w:rPr>
          <w:rFonts w:ascii="Times New Roman" w:hAnsi="Times New Roman" w:cs="Times New Roman"/>
          <w:b/>
          <w:sz w:val="24"/>
          <w:szCs w:val="24"/>
          <w:lang w:val="mn-MN"/>
        </w:rPr>
      </w:pPr>
    </w:p>
    <w:p w14:paraId="09704AC0" w14:textId="77777777" w:rsidR="00532BDC" w:rsidRPr="00532BDC" w:rsidRDefault="00532BDC" w:rsidP="00532BDC">
      <w:pPr>
        <w:autoSpaceDE w:val="0"/>
        <w:autoSpaceDN w:val="0"/>
        <w:adjustRightInd w:val="0"/>
        <w:spacing w:after="0"/>
        <w:jc w:val="both"/>
        <w:rPr>
          <w:rFonts w:ascii="Times New Roman" w:hAnsi="Times New Roman" w:cs="Times New Roman"/>
          <w:b/>
          <w:sz w:val="24"/>
          <w:szCs w:val="24"/>
          <w:lang w:val="mn-MN"/>
        </w:rPr>
      </w:pPr>
      <w:r w:rsidRPr="00532BDC">
        <w:rPr>
          <w:rFonts w:ascii="Times New Roman" w:hAnsi="Times New Roman" w:cs="Times New Roman"/>
          <w:b/>
          <w:sz w:val="24"/>
          <w:szCs w:val="24"/>
          <w:lang w:val="mn-MN"/>
        </w:rPr>
        <w:t xml:space="preserve">Дүгнэлт  </w:t>
      </w:r>
    </w:p>
    <w:p w14:paraId="33F04A85" w14:textId="77777777" w:rsidR="00532BDC" w:rsidRPr="00532BDC" w:rsidRDefault="00532BDC" w:rsidP="00532BDC">
      <w:pPr>
        <w:autoSpaceDE w:val="0"/>
        <w:autoSpaceDN w:val="0"/>
        <w:adjustRightInd w:val="0"/>
        <w:spacing w:after="0"/>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Дээд боловсролын байгууллага, аж үйлдвэрийн салбар хоорондын хамтын ажиллагааны талаарх аж үйлдвэрийн салбарт хийгдсэн судалгаа шинжилгээний ажил, төсөл хөтөлбөрүүд, их дээд сургуулиудаас авсан ярилцлагын судалгаа болон бусад баримт бичигт дүн шинжилгээ хийн харьцуулахад улсын хэмжээнд их дээд сургууль, аж үйлдвэрийн салбар хоорондын хамтын ажиллагаа эхлэлийн шатандаа байгаа ба энэ нь  харилцан ашигтай хамтын ажиллагаа болж чадахгүй байна. </w:t>
      </w:r>
    </w:p>
    <w:p w14:paraId="24678E95" w14:textId="77777777" w:rsidR="00532BDC" w:rsidRPr="00532BDC" w:rsidRDefault="00532BDC" w:rsidP="00532BDC">
      <w:pPr>
        <w:autoSpaceDE w:val="0"/>
        <w:autoSpaceDN w:val="0"/>
        <w:adjustRightInd w:val="0"/>
        <w:spacing w:after="0"/>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Өнөөгийн байдлаар эдгээр хоёр салбарын хамтын ажиллагаа нь оюутны дадлагын ажлаар л хязгаарлагдсан дүр төрхтэй байгаа юм. Судалгааны явцад их дээд сургуулийн зүгээс аж үйлдвэрийн салбартай нээлттэй байдлаар хамтран ажиллах сонирхол их байсан ч хэрхэн яаж, ямар арга замаар үр дүнтэй ажиллах вэ гэдэг дээр бодлого, стратеги дутагдалтай төдийгүй дээрх хоёр салбарын хооронд эрдэм шинжилгээ, судалгаа инновацийн хүрээнд хамтын ажиллагааны туршлага хуримтлагдаагүй байна. Сургуулиуд аж үйлдвэрийн салбарын бодит хэрэгцээ, тэдний онцлог, чиг хандлагад нийцсэн байдлаар ажиллаж сурахад хүний нөөцийн бусад төрлийн дэмжлэгүүд хэрэгтэй байна. </w:t>
      </w:r>
    </w:p>
    <w:p w14:paraId="33D5C1CC" w14:textId="77777777" w:rsidR="00532BDC" w:rsidRPr="00532BDC" w:rsidRDefault="00532BDC" w:rsidP="00532BDC">
      <w:pPr>
        <w:autoSpaceDE w:val="0"/>
        <w:autoSpaceDN w:val="0"/>
        <w:adjustRightInd w:val="0"/>
        <w:spacing w:after="0"/>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Иймд их сургууль, аж үйлдвэрийн салбар хоорондын хамтын ажиллагааг дэмжсэн уян хатан, урт хугацааны, тогтвортой, олон талт хөгжлийн бодлогыг хоёр талын хэрэгцээ, шаардлагыг зөв тодорхойлсоны үндсэн дээр боловсруулан хөгжүүлэх хэрэгтэй байна.</w:t>
      </w:r>
    </w:p>
    <w:p w14:paraId="2A787685" w14:textId="77777777" w:rsidR="00532BDC" w:rsidRPr="00532BDC" w:rsidRDefault="00532BDC" w:rsidP="00532BDC">
      <w:pPr>
        <w:pStyle w:val="Heading1"/>
        <w:jc w:val="both"/>
        <w:rPr>
          <w:rFonts w:ascii="Times New Roman" w:hAnsi="Times New Roman" w:cs="Times New Roman"/>
          <w:sz w:val="24"/>
          <w:szCs w:val="24"/>
          <w:lang w:val="mn-MN"/>
        </w:rPr>
      </w:pPr>
      <w:r w:rsidRPr="00532BDC">
        <w:rPr>
          <w:rFonts w:ascii="Times New Roman" w:hAnsi="Times New Roman" w:cs="Times New Roman"/>
          <w:sz w:val="24"/>
          <w:szCs w:val="24"/>
          <w:lang w:val="mn-MN"/>
        </w:rPr>
        <w:t xml:space="preserve">Ном зүйн </w:t>
      </w:r>
    </w:p>
    <w:sdt>
      <w:sdtPr>
        <w:rPr>
          <w:rFonts w:eastAsiaTheme="minorHAnsi" w:cs="Times New Roman"/>
          <w:szCs w:val="24"/>
        </w:rPr>
        <w:id w:val="1883433969"/>
        <w:bibliography/>
      </w:sdtPr>
      <w:sdtContent>
        <w:p w14:paraId="6A6783C3" w14:textId="77777777" w:rsidR="00532BDC" w:rsidRPr="00532BDC" w:rsidRDefault="00532BDC" w:rsidP="00532BDC">
          <w:pPr>
            <w:pStyle w:val="Bibliography"/>
            <w:ind w:left="720" w:hanging="720"/>
            <w:rPr>
              <w:rFonts w:cs="Times New Roman"/>
              <w:noProof/>
              <w:szCs w:val="24"/>
              <w:lang w:val="mn-MN"/>
            </w:rPr>
          </w:pPr>
          <w:r w:rsidRPr="00532BDC">
            <w:rPr>
              <w:rFonts w:cs="Times New Roman"/>
              <w:szCs w:val="24"/>
            </w:rPr>
            <w:fldChar w:fldCharType="begin"/>
          </w:r>
          <w:r w:rsidRPr="00532BDC">
            <w:rPr>
              <w:rFonts w:cs="Times New Roman"/>
              <w:szCs w:val="24"/>
              <w:lang w:val="mn-MN"/>
            </w:rPr>
            <w:instrText xml:space="preserve"> BIBLIOGRAPHY </w:instrText>
          </w:r>
          <w:r w:rsidRPr="00532BDC">
            <w:rPr>
              <w:rFonts w:cs="Times New Roman"/>
              <w:szCs w:val="24"/>
            </w:rPr>
            <w:fldChar w:fldCharType="separate"/>
          </w:r>
          <w:r w:rsidRPr="00532BDC">
            <w:rPr>
              <w:rFonts w:cs="Times New Roman"/>
              <w:noProof/>
              <w:szCs w:val="24"/>
              <w:lang w:val="mn-MN"/>
            </w:rPr>
            <w:t xml:space="preserve">Байгальмаа Ч. (2009). </w:t>
          </w:r>
          <w:r w:rsidRPr="00532BDC">
            <w:rPr>
              <w:rFonts w:cs="Times New Roman"/>
              <w:i/>
              <w:iCs/>
              <w:noProof/>
              <w:szCs w:val="24"/>
              <w:lang w:val="mn-MN"/>
            </w:rPr>
            <w:t>Багшийн хөгжлийн практик.</w:t>
          </w:r>
          <w:r w:rsidRPr="00532BDC">
            <w:rPr>
              <w:rFonts w:cs="Times New Roman"/>
              <w:noProof/>
              <w:szCs w:val="24"/>
              <w:lang w:val="mn-MN"/>
            </w:rPr>
            <w:t xml:space="preserve"> УБ.</w:t>
          </w:r>
        </w:p>
        <w:p w14:paraId="2036B991"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Я.Отгонбаяр. (2015). Их, дээд сургуулийн багшийн хөгжлийн социологийн шинжилгээ. </w:t>
          </w:r>
          <w:r w:rsidRPr="00532BDC">
            <w:rPr>
              <w:rFonts w:cs="Times New Roman"/>
              <w:i/>
              <w:iCs/>
              <w:noProof/>
              <w:szCs w:val="24"/>
              <w:lang w:val="mn-MN"/>
            </w:rPr>
            <w:t>докторын диссертаци</w:t>
          </w:r>
          <w:r w:rsidRPr="00532BDC">
            <w:rPr>
              <w:rFonts w:cs="Times New Roman"/>
              <w:noProof/>
              <w:szCs w:val="24"/>
              <w:lang w:val="mn-MN"/>
            </w:rPr>
            <w:t>.</w:t>
          </w:r>
        </w:p>
        <w:p w14:paraId="6E79AE77"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УИХ. (2006). </w:t>
          </w:r>
          <w:r w:rsidRPr="00532BDC">
            <w:rPr>
              <w:rFonts w:cs="Times New Roman"/>
              <w:i/>
              <w:iCs/>
              <w:noProof/>
              <w:szCs w:val="24"/>
              <w:lang w:val="mn-MN"/>
            </w:rPr>
            <w:t>Шинжлэх ухаан, технологийн тухай хууль.</w:t>
          </w:r>
          <w:r w:rsidRPr="00532BDC">
            <w:rPr>
              <w:rFonts w:cs="Times New Roman"/>
              <w:noProof/>
              <w:szCs w:val="24"/>
              <w:lang w:val="mn-MN"/>
            </w:rPr>
            <w:t xml:space="preserve"> Улаанбаатар.</w:t>
          </w:r>
        </w:p>
        <w:p w14:paraId="4D26ED50"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яам, А. ү. (2015). </w:t>
          </w:r>
          <w:r w:rsidRPr="00532BDC">
            <w:rPr>
              <w:rFonts w:cs="Times New Roman"/>
              <w:i/>
              <w:iCs/>
              <w:noProof/>
              <w:szCs w:val="24"/>
              <w:lang w:val="mn-MN"/>
            </w:rPr>
            <w:t>Аж үйлдвэрийн талаар баримтлах бодлого.</w:t>
          </w:r>
          <w:r w:rsidRPr="00532BDC">
            <w:rPr>
              <w:rFonts w:cs="Times New Roman"/>
              <w:noProof/>
              <w:szCs w:val="24"/>
              <w:lang w:val="mn-MN"/>
            </w:rPr>
            <w:t xml:space="preserve"> Улаанбаатар.</w:t>
          </w:r>
        </w:p>
        <w:p w14:paraId="696AE70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МУЗГ. (1992). Монгол улсын засгийн газрын мөрийн хөтөлбөр /1992-1996/. </w:t>
          </w:r>
          <w:r w:rsidRPr="00532BDC">
            <w:rPr>
              <w:rFonts w:cs="Times New Roman"/>
              <w:i/>
              <w:iCs/>
              <w:noProof/>
              <w:szCs w:val="24"/>
              <w:lang w:val="mn-MN"/>
            </w:rPr>
            <w:t>Үнэн</w:t>
          </w:r>
          <w:r w:rsidRPr="00532BDC">
            <w:rPr>
              <w:rFonts w:cs="Times New Roman"/>
              <w:noProof/>
              <w:szCs w:val="24"/>
              <w:lang w:val="mn-MN"/>
            </w:rPr>
            <w:t>, 1.</w:t>
          </w:r>
        </w:p>
        <w:p w14:paraId="452F11DA"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БСШУ. (2007). </w:t>
          </w:r>
          <w:r w:rsidRPr="00532BDC">
            <w:rPr>
              <w:rFonts w:cs="Times New Roman"/>
              <w:i/>
              <w:iCs/>
              <w:noProof/>
              <w:szCs w:val="24"/>
              <w:lang w:val="mn-MN"/>
            </w:rPr>
            <w:t>Монгол Улсын Шинжлэх Ухаан, Технологийг 2007-2020 онд хөгжүүлэх мастер төлөвлөгөө.</w:t>
          </w:r>
          <w:r w:rsidRPr="00532BDC">
            <w:rPr>
              <w:rFonts w:cs="Times New Roman"/>
              <w:noProof/>
              <w:szCs w:val="24"/>
              <w:lang w:val="mn-MN"/>
            </w:rPr>
            <w:t xml:space="preserve"> Улаанбаатар: Содпресс.</w:t>
          </w:r>
        </w:p>
        <w:p w14:paraId="39CCA526"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lastRenderedPageBreak/>
            <w:t xml:space="preserve">МУЗГ. (2011). </w:t>
          </w:r>
          <w:r w:rsidRPr="00532BDC">
            <w:rPr>
              <w:rFonts w:cs="Times New Roman"/>
              <w:i/>
              <w:iCs/>
              <w:noProof/>
              <w:szCs w:val="24"/>
              <w:lang w:val="mn-MN"/>
            </w:rPr>
            <w:t>Хувийн хэвшлийн хөгжлийг дэмжих үндэсний стратеги.</w:t>
          </w:r>
          <w:r w:rsidRPr="00532BDC">
            <w:rPr>
              <w:rFonts w:cs="Times New Roman"/>
              <w:noProof/>
              <w:szCs w:val="24"/>
              <w:lang w:val="mn-MN"/>
            </w:rPr>
            <w:t xml:space="preserve"> Улаанбаатар.</w:t>
          </w:r>
        </w:p>
        <w:p w14:paraId="7AE86B2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ХСИС. (2013).</w:t>
          </w:r>
        </w:p>
        <w:p w14:paraId="4164D5B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МУИС. (2014). </w:t>
          </w:r>
          <w:r w:rsidRPr="00532BDC">
            <w:rPr>
              <w:rFonts w:cs="Times New Roman"/>
              <w:i/>
              <w:iCs/>
              <w:noProof/>
              <w:szCs w:val="24"/>
              <w:lang w:val="mn-MN"/>
            </w:rPr>
            <w:t>МУИС-ийн багшийн орон тоо, ажлын үнэлгээний журам.</w:t>
          </w:r>
          <w:r w:rsidRPr="00532BDC">
            <w:rPr>
              <w:rFonts w:cs="Times New Roman"/>
              <w:noProof/>
              <w:szCs w:val="24"/>
              <w:lang w:val="mn-MN"/>
            </w:rPr>
            <w:t xml:space="preserve"> Захиралын 652 тоот тушаалын хавсралт 4.</w:t>
          </w:r>
        </w:p>
        <w:p w14:paraId="5468DAF9"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Даваа Ж, ба бусад. (2012). </w:t>
          </w:r>
          <w:r w:rsidRPr="00532BDC">
            <w:rPr>
              <w:rFonts w:cs="Times New Roman"/>
              <w:i/>
              <w:iCs/>
              <w:noProof/>
              <w:szCs w:val="24"/>
              <w:lang w:val="mn-MN"/>
            </w:rPr>
            <w:t>Их дээд сургууль, коллежийн багшийн хөгжлийн судалгаа.</w:t>
          </w:r>
          <w:r w:rsidRPr="00532BDC">
            <w:rPr>
              <w:rFonts w:cs="Times New Roman"/>
              <w:noProof/>
              <w:szCs w:val="24"/>
              <w:lang w:val="mn-MN"/>
            </w:rPr>
            <w:t xml:space="preserve"> УБ.</w:t>
          </w:r>
        </w:p>
        <w:p w14:paraId="55A57373"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Акиро Аримото. (2012). </w:t>
          </w:r>
          <w:r w:rsidRPr="00532BDC">
            <w:rPr>
              <w:rFonts w:cs="Times New Roman"/>
              <w:i/>
              <w:iCs/>
              <w:noProof/>
              <w:szCs w:val="24"/>
              <w:lang w:val="mn-MN"/>
            </w:rPr>
            <w:t>Reaction to academic ranking in Japanies.</w:t>
          </w:r>
          <w:r w:rsidRPr="00532BDC">
            <w:rPr>
              <w:rFonts w:cs="Times New Roman"/>
              <w:noProof/>
              <w:szCs w:val="24"/>
              <w:lang w:val="mn-MN"/>
            </w:rPr>
            <w:t xml:space="preserve"> From. URL: http:/www. Researchgate.net/publication/ 226816799-ээс Гаргасан</w:t>
          </w:r>
        </w:p>
        <w:p w14:paraId="474AD952"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ШУТИС. (2013).</w:t>
          </w:r>
        </w:p>
        <w:p w14:paraId="1D7FF0C3"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ХААИС. (2013). </w:t>
          </w:r>
          <w:r w:rsidRPr="00532BDC">
            <w:rPr>
              <w:rFonts w:cs="Times New Roman"/>
              <w:i/>
              <w:iCs/>
              <w:noProof/>
              <w:szCs w:val="24"/>
              <w:lang w:val="mn-MN"/>
            </w:rPr>
            <w:t>ХААИС-ийн профессор багшийн ажлыг төлөвлөх, гүйцэтгэлийг тооцох журам.</w:t>
          </w:r>
          <w:r w:rsidRPr="00532BDC">
            <w:rPr>
              <w:rFonts w:cs="Times New Roman"/>
              <w:noProof/>
              <w:szCs w:val="24"/>
              <w:lang w:val="mn-MN"/>
            </w:rPr>
            <w:t xml:space="preserve"> УБ.</w:t>
          </w:r>
        </w:p>
        <w:p w14:paraId="504437BD"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БСШУЯ. (2014). </w:t>
          </w:r>
          <w:r w:rsidRPr="00532BDC">
            <w:rPr>
              <w:rFonts w:cs="Times New Roman"/>
              <w:i/>
              <w:iCs/>
              <w:noProof/>
              <w:szCs w:val="24"/>
              <w:lang w:val="mn-MN"/>
            </w:rPr>
            <w:t>Эрдэм шинжилгээний байгууллагын дэргэд гарааны компани байгуулах журам.</w:t>
          </w:r>
          <w:r w:rsidRPr="00532BDC">
            <w:rPr>
              <w:rFonts w:cs="Times New Roman"/>
              <w:noProof/>
              <w:szCs w:val="24"/>
              <w:lang w:val="mn-MN"/>
            </w:rPr>
            <w:t xml:space="preserve"> Улаанбаатар.</w:t>
          </w:r>
        </w:p>
        <w:p w14:paraId="641B31C3"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МУБИС. (2014). </w:t>
          </w:r>
          <w:r w:rsidRPr="00532BDC">
            <w:rPr>
              <w:rFonts w:cs="Times New Roman"/>
              <w:i/>
              <w:iCs/>
              <w:noProof/>
              <w:szCs w:val="24"/>
              <w:lang w:val="mn-MN"/>
            </w:rPr>
            <w:t>МУБИС-ийн профессор багшийн ажлыг үнэлэх, дүгнэх журам.</w:t>
          </w:r>
          <w:r w:rsidRPr="00532BDC">
            <w:rPr>
              <w:rFonts w:cs="Times New Roman"/>
              <w:noProof/>
              <w:szCs w:val="24"/>
              <w:lang w:val="mn-MN"/>
            </w:rPr>
            <w:t xml:space="preserve"> шинэчилсэн найруулгын төсөл.</w:t>
          </w:r>
        </w:p>
        <w:p w14:paraId="0250F975"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Тамир, Ч., Мөнхбат, Л. (2013). </w:t>
          </w:r>
          <w:r w:rsidRPr="00532BDC">
            <w:rPr>
              <w:rFonts w:cs="Times New Roman"/>
              <w:i/>
              <w:iCs/>
              <w:noProof/>
              <w:szCs w:val="24"/>
              <w:lang w:val="mn-MN"/>
            </w:rPr>
            <w:t>Монголын дээд боловсролын бодлого: үнэлгээ ба шинжилгээ.</w:t>
          </w:r>
          <w:r w:rsidRPr="00532BDC">
            <w:rPr>
              <w:rFonts w:cs="Times New Roman"/>
              <w:noProof/>
              <w:szCs w:val="24"/>
              <w:lang w:val="mn-MN"/>
            </w:rPr>
            <w:t xml:space="preserve"> Улаанбаатар: Пикселс.</w:t>
          </w:r>
        </w:p>
        <w:p w14:paraId="777EBB64" w14:textId="77777777" w:rsidR="00532BDC" w:rsidRPr="00532BDC" w:rsidRDefault="00532BDC" w:rsidP="00532BDC">
          <w:pPr>
            <w:pStyle w:val="Bibliography"/>
            <w:ind w:left="720" w:hanging="720"/>
            <w:rPr>
              <w:rFonts w:cs="Times New Roman"/>
              <w:noProof/>
              <w:szCs w:val="24"/>
              <w:lang w:val="mn-MN"/>
            </w:rPr>
          </w:pPr>
          <w:r w:rsidRPr="00532BDC">
            <w:rPr>
              <w:rFonts w:cs="Times New Roman"/>
              <w:i/>
              <w:iCs/>
              <w:noProof/>
              <w:szCs w:val="24"/>
              <w:lang w:val="mn-MN"/>
            </w:rPr>
            <w:t>Монгол улсад үндэсний инновацийн тогтолцоог хөгжүүлэх хөтөлбөр (2008-2015).</w:t>
          </w:r>
          <w:r w:rsidRPr="00532BDC">
            <w:rPr>
              <w:rFonts w:cs="Times New Roman"/>
              <w:noProof/>
              <w:szCs w:val="24"/>
              <w:lang w:val="mn-MN"/>
            </w:rPr>
            <w:t xml:space="preserve"> (2007). Улаанбаатар.</w:t>
          </w:r>
        </w:p>
        <w:p w14:paraId="53E7ECE1"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Хандмаа Р. (2009). Хөгжилтэй орнуудын их дээд сургуулийн багшид тавигдах шаардлага. </w:t>
          </w:r>
          <w:r w:rsidRPr="00532BDC">
            <w:rPr>
              <w:rFonts w:cs="Times New Roman"/>
              <w:i/>
              <w:iCs/>
              <w:noProof/>
              <w:szCs w:val="24"/>
              <w:lang w:val="mn-MN"/>
            </w:rPr>
            <w:t>Хүний нөөцийн менежмент</w:t>
          </w:r>
          <w:r w:rsidRPr="00532BDC">
            <w:rPr>
              <w:rFonts w:cs="Times New Roman"/>
              <w:noProof/>
              <w:szCs w:val="24"/>
              <w:lang w:val="mn-MN"/>
            </w:rPr>
            <w:t>, №1 х-26.</w:t>
          </w:r>
        </w:p>
        <w:p w14:paraId="037766C2"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хүрээлэн, И. Х. (2015). </w:t>
          </w:r>
          <w:r w:rsidRPr="00532BDC">
            <w:rPr>
              <w:rFonts w:cs="Times New Roman"/>
              <w:i/>
              <w:iCs/>
              <w:noProof/>
              <w:szCs w:val="24"/>
              <w:lang w:val="mn-MN"/>
            </w:rPr>
            <w:t>Аж үйлдвэрийн салбарын хэрэгцээний үнэлгээ.</w:t>
          </w:r>
          <w:r w:rsidRPr="00532BDC">
            <w:rPr>
              <w:rFonts w:cs="Times New Roman"/>
              <w:noProof/>
              <w:szCs w:val="24"/>
              <w:lang w:val="mn-MN"/>
            </w:rPr>
            <w:t xml:space="preserve"> Улаанбаатар.</w:t>
          </w:r>
        </w:p>
        <w:p w14:paraId="16ADCCFD"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хүрээлэн, И. Х. (2015). </w:t>
          </w:r>
          <w:r w:rsidRPr="00532BDC">
            <w:rPr>
              <w:rFonts w:cs="Times New Roman"/>
              <w:i/>
              <w:iCs/>
              <w:noProof/>
              <w:szCs w:val="24"/>
              <w:lang w:val="mn-MN"/>
            </w:rPr>
            <w:t>Аж үйлдвэрийн салбарын хэрэгцээний үнэлгээ.</w:t>
          </w:r>
          <w:r w:rsidRPr="00532BDC">
            <w:rPr>
              <w:rFonts w:cs="Times New Roman"/>
              <w:noProof/>
              <w:szCs w:val="24"/>
              <w:lang w:val="mn-MN"/>
            </w:rPr>
            <w:t xml:space="preserve"> Улаанбаатар.</w:t>
          </w:r>
        </w:p>
        <w:p w14:paraId="249DB557"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Нарантуяа Н. (2012). </w:t>
          </w:r>
          <w:r w:rsidRPr="00532BDC">
            <w:rPr>
              <w:rFonts w:cs="Times New Roman"/>
              <w:i/>
              <w:iCs/>
              <w:noProof/>
              <w:szCs w:val="24"/>
              <w:lang w:val="mn-MN"/>
            </w:rPr>
            <w:t>Боловсролын удирдлага.</w:t>
          </w:r>
          <w:r w:rsidRPr="00532BDC">
            <w:rPr>
              <w:rFonts w:cs="Times New Roman"/>
              <w:noProof/>
              <w:szCs w:val="24"/>
              <w:lang w:val="mn-MN"/>
            </w:rPr>
            <w:t xml:space="preserve"> УБ.</w:t>
          </w:r>
        </w:p>
        <w:p w14:paraId="5142A39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Арвинбаяр, Б. (2009). </w:t>
          </w:r>
          <w:r w:rsidRPr="00532BDC">
            <w:rPr>
              <w:rFonts w:cs="Times New Roman"/>
              <w:i/>
              <w:iCs/>
              <w:noProof/>
              <w:szCs w:val="24"/>
              <w:lang w:val="mn-MN"/>
            </w:rPr>
            <w:t>Шинжлэх ухааны технологийн сангийн зарцуулалт, үр дүнгийн мониторинг.</w:t>
          </w:r>
          <w:r w:rsidRPr="00532BDC">
            <w:rPr>
              <w:rFonts w:cs="Times New Roman"/>
              <w:noProof/>
              <w:szCs w:val="24"/>
              <w:lang w:val="mn-MN"/>
            </w:rPr>
            <w:t xml:space="preserve"> 2009: Нээлттэй Нийгэм Форум.</w:t>
          </w:r>
        </w:p>
        <w:p w14:paraId="048BDC83"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lastRenderedPageBreak/>
            <w:t xml:space="preserve">Даваасүрэн, Б. (2015). </w:t>
          </w:r>
          <w:r w:rsidRPr="00532BDC">
            <w:rPr>
              <w:rFonts w:cs="Times New Roman"/>
              <w:i/>
              <w:iCs/>
              <w:noProof/>
              <w:szCs w:val="24"/>
              <w:lang w:val="mn-MN"/>
            </w:rPr>
            <w:t>Монгол улсын аж үйлдвэрийн салбаруудын технологийн түвшний үнэлгээ, технологийн бэлэн байдал.</w:t>
          </w:r>
          <w:r w:rsidRPr="00532BDC">
            <w:rPr>
              <w:rFonts w:cs="Times New Roman"/>
              <w:noProof/>
              <w:szCs w:val="24"/>
              <w:lang w:val="mn-MN"/>
            </w:rPr>
            <w:t xml:space="preserve"> Улаанбаатар: Технологийн хөгжлийн хүрээлэн ТББ.</w:t>
          </w:r>
        </w:p>
        <w:p w14:paraId="04974797" w14:textId="77777777" w:rsidR="00532BDC" w:rsidRPr="00532BDC" w:rsidRDefault="00532BDC" w:rsidP="00532BDC">
          <w:pPr>
            <w:pStyle w:val="Bibliography"/>
            <w:ind w:left="720" w:hanging="720"/>
            <w:rPr>
              <w:rFonts w:cs="Times New Roman"/>
              <w:noProof/>
              <w:szCs w:val="24"/>
              <w:lang w:val="uz-Cyrl-UZ"/>
            </w:rPr>
          </w:pPr>
          <w:r w:rsidRPr="00532BDC">
            <w:rPr>
              <w:rFonts w:cs="Times New Roman"/>
              <w:noProof/>
              <w:szCs w:val="24"/>
              <w:lang w:val="uz-Cyrl-UZ"/>
            </w:rPr>
            <w:t xml:space="preserve">Bils, M., &amp; Klenow, P. (2000). Does Schooling Cause Growth? </w:t>
          </w:r>
          <w:r w:rsidRPr="00532BDC">
            <w:rPr>
              <w:rFonts w:cs="Times New Roman"/>
              <w:i/>
              <w:iCs/>
              <w:noProof/>
              <w:szCs w:val="24"/>
              <w:lang w:val="uz-Cyrl-UZ"/>
            </w:rPr>
            <w:t>American Economic Review, 90</w:t>
          </w:r>
          <w:r w:rsidRPr="00532BDC">
            <w:rPr>
              <w:rFonts w:cs="Times New Roman"/>
              <w:noProof/>
              <w:szCs w:val="24"/>
              <w:lang w:val="uz-Cyrl-UZ"/>
            </w:rPr>
            <w:t>(5), 1160-1183.</w:t>
          </w:r>
        </w:p>
        <w:p w14:paraId="3AA20F99"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Bray, Mark, Surengiin Davaa, Seth Spaulding, and John C. Weidman. . (1994). Transition from Socialism and the Financing of Higher Education: The case of Mongolia. </w:t>
          </w:r>
          <w:r w:rsidRPr="00532BDC">
            <w:rPr>
              <w:rFonts w:cs="Times New Roman"/>
              <w:i/>
              <w:iCs/>
              <w:noProof/>
              <w:szCs w:val="24"/>
              <w:lang w:val="mn-MN"/>
            </w:rPr>
            <w:t>Higher Education Policy</w:t>
          </w:r>
          <w:r w:rsidRPr="00532BDC">
            <w:rPr>
              <w:rFonts w:cs="Times New Roman"/>
              <w:noProof/>
              <w:szCs w:val="24"/>
              <w:lang w:val="mn-MN"/>
            </w:rPr>
            <w:t>, 36-42.</w:t>
          </w:r>
        </w:p>
        <w:p w14:paraId="763D2CB5"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Carnegie . (2006 оны 12 04). http:/www.carnegie foundation.org/classification of higher education.-ээс Гаргасан</w:t>
          </w:r>
        </w:p>
        <w:p w14:paraId="23E90A93"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Claudio, M., &amp; Patrinos, H. (2014). </w:t>
          </w:r>
          <w:r w:rsidRPr="00532BDC">
            <w:rPr>
              <w:rFonts w:cs="Times New Roman"/>
              <w:i/>
              <w:iCs/>
              <w:noProof/>
              <w:szCs w:val="24"/>
              <w:lang w:val="mn-MN"/>
            </w:rPr>
            <w:t>Comparable Estimates of Returns to Schooling Around the World.</w:t>
          </w:r>
          <w:r w:rsidRPr="00532BDC">
            <w:rPr>
              <w:rFonts w:cs="Times New Roman"/>
              <w:noProof/>
              <w:szCs w:val="24"/>
              <w:lang w:val="mn-MN"/>
            </w:rPr>
            <w:t xml:space="preserve"> World bank group.</w:t>
          </w:r>
        </w:p>
        <w:p w14:paraId="3E4775C1"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Coloradо. (2013). </w:t>
          </w:r>
          <w:r w:rsidRPr="00532BDC">
            <w:rPr>
              <w:rFonts w:cs="Times New Roman"/>
              <w:i/>
              <w:iCs/>
              <w:noProof/>
              <w:szCs w:val="24"/>
              <w:lang w:val="mn-MN"/>
            </w:rPr>
            <w:t>http://facultyaffairs.colorada.edufaculty-titles</w:t>
          </w:r>
          <w:r w:rsidRPr="00532BDC">
            <w:rPr>
              <w:rFonts w:cs="Times New Roman"/>
              <w:noProof/>
              <w:szCs w:val="24"/>
              <w:lang w:val="mn-MN"/>
            </w:rPr>
            <w:t>.</w:t>
          </w:r>
        </w:p>
        <w:p w14:paraId="567D4A79" w14:textId="77777777" w:rsidR="00532BDC" w:rsidRPr="00532BDC" w:rsidRDefault="00532BDC" w:rsidP="00532BDC">
          <w:pPr>
            <w:pStyle w:val="Bibliography"/>
            <w:ind w:left="720" w:hanging="720"/>
            <w:rPr>
              <w:rFonts w:cs="Times New Roman"/>
              <w:noProof/>
              <w:szCs w:val="24"/>
              <w:lang w:val="uz-Cyrl-UZ"/>
            </w:rPr>
          </w:pPr>
          <w:r w:rsidRPr="00532BDC">
            <w:rPr>
              <w:rFonts w:cs="Times New Roman"/>
              <w:noProof/>
              <w:szCs w:val="24"/>
              <w:lang w:val="uz-Cyrl-UZ"/>
            </w:rPr>
            <w:t xml:space="preserve">Crivellaro, E. (2012). Returns to college over time: trends in Europe in the last 15 years. Stuck on the puzzle. </w:t>
          </w:r>
          <w:r w:rsidRPr="00532BDC">
            <w:rPr>
              <w:rFonts w:cs="Times New Roman"/>
              <w:i/>
              <w:iCs/>
              <w:noProof/>
              <w:szCs w:val="24"/>
              <w:lang w:val="uz-Cyrl-UZ"/>
            </w:rPr>
            <w:t>Working Paper No. 146. University of Padova</w:t>
          </w:r>
          <w:r w:rsidRPr="00532BDC">
            <w:rPr>
              <w:rFonts w:cs="Times New Roman"/>
              <w:noProof/>
              <w:szCs w:val="24"/>
              <w:lang w:val="uz-Cyrl-UZ"/>
            </w:rPr>
            <w:t>.</w:t>
          </w:r>
        </w:p>
        <w:p w14:paraId="1F9EEA3D"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Dahl, G. (2002). Mobility and the return to education: Testing a Roy model with multiple markets. </w:t>
          </w:r>
          <w:r w:rsidRPr="00532BDC">
            <w:rPr>
              <w:rFonts w:cs="Times New Roman"/>
              <w:i/>
              <w:iCs/>
              <w:noProof/>
              <w:szCs w:val="24"/>
              <w:lang w:val="mn-MN"/>
            </w:rPr>
            <w:t>Econometrica</w:t>
          </w:r>
          <w:r w:rsidRPr="00532BDC">
            <w:rPr>
              <w:rFonts w:cs="Times New Roman"/>
              <w:noProof/>
              <w:szCs w:val="24"/>
              <w:lang w:val="mn-MN"/>
            </w:rPr>
            <w:t>, 70 (6), 2367–2420.</w:t>
          </w:r>
        </w:p>
        <w:p w14:paraId="2E8CD751"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Emiliana Vegas, Ilana Umansky. (2005). </w:t>
          </w:r>
          <w:r w:rsidRPr="00532BDC">
            <w:rPr>
              <w:rFonts w:cs="Times New Roman"/>
              <w:i/>
              <w:iCs/>
              <w:noProof/>
              <w:szCs w:val="24"/>
              <w:lang w:val="mn-MN"/>
            </w:rPr>
            <w:t>Incenrives to improve teaching:Lessons from Latin America.</w:t>
          </w:r>
          <w:r w:rsidRPr="00532BDC">
            <w:rPr>
              <w:rFonts w:cs="Times New Roman"/>
              <w:noProof/>
              <w:szCs w:val="24"/>
              <w:lang w:val="mn-MN"/>
            </w:rPr>
            <w:t xml:space="preserve"> New York.</w:t>
          </w:r>
        </w:p>
        <w:p w14:paraId="6C2CF7E5"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Jung-Hwan Park, Chang-Bae Moon. (2011). Design and development of a Teaching Assesstment system for improving Teaching skill in u-Cumpus. . </w:t>
          </w:r>
          <w:r w:rsidRPr="00532BDC">
            <w:rPr>
              <w:rFonts w:cs="Times New Roman"/>
              <w:i/>
              <w:iCs/>
              <w:noProof/>
              <w:szCs w:val="24"/>
              <w:lang w:val="mn-MN"/>
            </w:rPr>
            <w:t>Journal of the Korea Academia-industral cooperation society</w:t>
          </w:r>
          <w:r w:rsidRPr="00532BDC">
            <w:rPr>
              <w:rFonts w:cs="Times New Roman"/>
              <w:noProof/>
              <w:szCs w:val="24"/>
              <w:lang w:val="mn-MN"/>
            </w:rPr>
            <w:t>, Vol 12. No 5 pp.2124-2132.</w:t>
          </w:r>
        </w:p>
        <w:p w14:paraId="142EF23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Krueger, D. P. (2010). Cross-sectional facts for macroeconomists. </w:t>
          </w:r>
          <w:r w:rsidRPr="00532BDC">
            <w:rPr>
              <w:rFonts w:cs="Times New Roman"/>
              <w:i/>
              <w:iCs/>
              <w:noProof/>
              <w:szCs w:val="24"/>
              <w:lang w:val="mn-MN"/>
            </w:rPr>
            <w:t>Review of Economic Dynamics</w:t>
          </w:r>
          <w:r w:rsidRPr="00532BDC">
            <w:rPr>
              <w:rFonts w:cs="Times New Roman"/>
              <w:noProof/>
              <w:szCs w:val="24"/>
              <w:lang w:val="mn-MN"/>
            </w:rPr>
            <w:t>, 13 (1), 1–14.</w:t>
          </w:r>
        </w:p>
        <w:p w14:paraId="68101D7F"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Lkhagvasuren, D. (2014). Education, Mobility and the College Wage Premium. </w:t>
          </w:r>
          <w:r w:rsidRPr="00532BDC">
            <w:rPr>
              <w:rFonts w:cs="Times New Roman"/>
              <w:i/>
              <w:iCs/>
              <w:noProof/>
              <w:szCs w:val="24"/>
              <w:lang w:val="mn-MN"/>
            </w:rPr>
            <w:t>European Economic Review</w:t>
          </w:r>
          <w:r w:rsidRPr="00532BDC">
            <w:rPr>
              <w:rFonts w:cs="Times New Roman"/>
              <w:noProof/>
              <w:szCs w:val="24"/>
              <w:lang w:val="mn-MN"/>
            </w:rPr>
            <w:t>, Vol 67: 159-173.</w:t>
          </w:r>
        </w:p>
        <w:p w14:paraId="4D487D55"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Machin, S. P. (2012). Education and mobility. </w:t>
          </w:r>
          <w:r w:rsidRPr="00532BDC">
            <w:rPr>
              <w:rFonts w:cs="Times New Roman"/>
              <w:i/>
              <w:iCs/>
              <w:noProof/>
              <w:szCs w:val="24"/>
              <w:lang w:val="mn-MN"/>
            </w:rPr>
            <w:t>Journal of the European Economic Association</w:t>
          </w:r>
          <w:r w:rsidRPr="00532BDC">
            <w:rPr>
              <w:rFonts w:cs="Times New Roman"/>
              <w:noProof/>
              <w:szCs w:val="24"/>
              <w:lang w:val="mn-MN"/>
            </w:rPr>
            <w:t>, 10 (2), 1–15.</w:t>
          </w:r>
        </w:p>
        <w:p w14:paraId="70FD0ACE"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lastRenderedPageBreak/>
            <w:t xml:space="preserve">Malamud, O. W. (2012). The impact of college education on geographic mobility. </w:t>
          </w:r>
          <w:r w:rsidRPr="00532BDC">
            <w:rPr>
              <w:rFonts w:cs="Times New Roman"/>
              <w:i/>
              <w:iCs/>
              <w:noProof/>
              <w:szCs w:val="24"/>
              <w:lang w:val="mn-MN"/>
            </w:rPr>
            <w:t>Journal of Human Resources</w:t>
          </w:r>
          <w:r w:rsidRPr="00532BDC">
            <w:rPr>
              <w:rFonts w:cs="Times New Roman"/>
              <w:noProof/>
              <w:szCs w:val="24"/>
              <w:lang w:val="mn-MN"/>
            </w:rPr>
            <w:t>, 47 (4), 913–950.</w:t>
          </w:r>
        </w:p>
        <w:p w14:paraId="36947460" w14:textId="77777777" w:rsidR="00532BDC" w:rsidRPr="00532BDC" w:rsidRDefault="00532BDC" w:rsidP="00532BDC">
          <w:pPr>
            <w:pStyle w:val="Bibliography"/>
            <w:ind w:left="720" w:hanging="720"/>
            <w:rPr>
              <w:rFonts w:cs="Times New Roman"/>
              <w:noProof/>
              <w:szCs w:val="24"/>
              <w:lang w:val="mn-MN"/>
            </w:rPr>
          </w:pPr>
          <w:r w:rsidRPr="00532BDC">
            <w:rPr>
              <w:rFonts w:cs="Times New Roman"/>
              <w:noProof/>
              <w:szCs w:val="24"/>
              <w:lang w:val="mn-MN"/>
            </w:rPr>
            <w:t xml:space="preserve">Mincer, J. (1958). Investment in Human Capital and Personal Income Distribution. </w:t>
          </w:r>
          <w:r w:rsidRPr="00532BDC">
            <w:rPr>
              <w:rFonts w:cs="Times New Roman"/>
              <w:i/>
              <w:iCs/>
              <w:noProof/>
              <w:szCs w:val="24"/>
              <w:lang w:val="mn-MN"/>
            </w:rPr>
            <w:t>Journal of Political Economy</w:t>
          </w:r>
          <w:r w:rsidRPr="00532BDC">
            <w:rPr>
              <w:rFonts w:cs="Times New Roman"/>
              <w:noProof/>
              <w:szCs w:val="24"/>
              <w:lang w:val="mn-MN"/>
            </w:rPr>
            <w:t>, 66 (4): 281-302.</w:t>
          </w:r>
        </w:p>
        <w:p w14:paraId="5DD15A1D" w14:textId="78416428" w:rsidR="00CC699E" w:rsidRPr="00532BDC" w:rsidRDefault="00532BDC" w:rsidP="00532BDC">
          <w:pPr>
            <w:rPr>
              <w:rFonts w:ascii="Times New Roman" w:hAnsi="Times New Roman" w:cs="Times New Roman"/>
              <w:sz w:val="24"/>
              <w:szCs w:val="24"/>
            </w:rPr>
          </w:pPr>
          <w:r w:rsidRPr="00532BDC">
            <w:rPr>
              <w:rFonts w:ascii="Times New Roman" w:hAnsi="Times New Roman" w:cs="Times New Roman"/>
              <w:b/>
              <w:bCs/>
              <w:noProof/>
              <w:sz w:val="24"/>
              <w:szCs w:val="24"/>
            </w:rPr>
            <w:fldChar w:fldCharType="end"/>
          </w:r>
        </w:p>
      </w:sdtContent>
    </w:sdt>
    <w:sectPr w:rsidR="00CC699E" w:rsidRPr="00532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B187C" w14:textId="77777777" w:rsidR="00024961" w:rsidRDefault="00024961" w:rsidP="00532BDC">
      <w:pPr>
        <w:spacing w:after="0" w:line="240" w:lineRule="auto"/>
      </w:pPr>
      <w:r>
        <w:separator/>
      </w:r>
    </w:p>
  </w:endnote>
  <w:endnote w:type="continuationSeparator" w:id="0">
    <w:p w14:paraId="0C8ACA97" w14:textId="77777777" w:rsidR="00024961" w:rsidRDefault="00024961" w:rsidP="0053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F4D60" w14:textId="77777777" w:rsidR="00024961" w:rsidRDefault="00024961" w:rsidP="00532BDC">
      <w:pPr>
        <w:spacing w:after="0" w:line="240" w:lineRule="auto"/>
      </w:pPr>
      <w:r>
        <w:separator/>
      </w:r>
    </w:p>
  </w:footnote>
  <w:footnote w:type="continuationSeparator" w:id="0">
    <w:p w14:paraId="76D759D9" w14:textId="77777777" w:rsidR="00024961" w:rsidRDefault="00024961" w:rsidP="00532BDC">
      <w:pPr>
        <w:spacing w:after="0" w:line="240" w:lineRule="auto"/>
      </w:pPr>
      <w:r>
        <w:continuationSeparator/>
      </w:r>
    </w:p>
  </w:footnote>
  <w:footnote w:id="1">
    <w:p w14:paraId="12177F41" w14:textId="77777777" w:rsidR="00532BDC" w:rsidRPr="00D9393D" w:rsidRDefault="00532BDC" w:rsidP="00532BDC">
      <w:pPr>
        <w:spacing w:line="240" w:lineRule="auto"/>
        <w:jc w:val="both"/>
        <w:rPr>
          <w:rFonts w:ascii="Times New Roman" w:hAnsi="Times New Roman" w:cs="Times New Roman"/>
          <w:lang w:val="mn-MN"/>
        </w:rPr>
      </w:pPr>
      <w:r>
        <w:rPr>
          <w:rStyle w:val="FootnoteReference"/>
        </w:rPr>
        <w:footnoteRef/>
      </w:r>
      <w:r w:rsidRPr="00946BA0">
        <w:rPr>
          <w:rFonts w:ascii="Times New Roman" w:hAnsi="Times New Roman" w:cs="Times New Roman"/>
          <w:sz w:val="20"/>
          <w:lang w:val="mn-MN"/>
        </w:rPr>
        <w:t xml:space="preserve">Энэхүү судалгааг АХБ-ны Дээд боловсролыг хөдөлмөрийн зах зээлтэй уялдуулах нь” төслийн хүрээнд МУИС, СЭЗДС, Шихихутаг, Хүмүүнлэгийн таван сургуулийн 500 оюутнаас санал асуулгын аргаар судлаач Ч.Тамир, А.Тэнүүнжаргал нар </w:t>
      </w:r>
      <w:r>
        <w:rPr>
          <w:rFonts w:ascii="Times New Roman" w:hAnsi="Times New Roman" w:cs="Times New Roman"/>
          <w:sz w:val="20"/>
          <w:lang w:val="mn-MN"/>
        </w:rPr>
        <w:t>2015 оны 11-р сард</w:t>
      </w:r>
      <w:r w:rsidRPr="00946BA0">
        <w:rPr>
          <w:rFonts w:ascii="Times New Roman" w:hAnsi="Times New Roman" w:cs="Times New Roman"/>
          <w:sz w:val="20"/>
          <w:lang w:val="mn-MN"/>
        </w:rPr>
        <w:t xml:space="preserve"> хийж гүйцэтгэсэн болно.</w:t>
      </w:r>
      <w:r w:rsidRPr="00946BA0">
        <w:rPr>
          <w:sz w:val="20"/>
          <w:lang w:val="mn-MN"/>
        </w:rPr>
        <w:t xml:space="preserve"> </w:t>
      </w:r>
    </w:p>
    <w:p w14:paraId="2A798D1F" w14:textId="77777777" w:rsidR="00532BDC" w:rsidRPr="00FD36F5" w:rsidRDefault="00532BDC" w:rsidP="00532BDC">
      <w:pPr>
        <w:pStyle w:val="FootnoteText"/>
        <w:rPr>
          <w:lang w:val="mn-M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DC"/>
    <w:rsid w:val="00024961"/>
    <w:rsid w:val="001B7692"/>
    <w:rsid w:val="00310704"/>
    <w:rsid w:val="003F3FD0"/>
    <w:rsid w:val="00532BDC"/>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6BE7"/>
  <w15:chartTrackingRefBased/>
  <w15:docId w15:val="{8890224B-4AA3-8F47-B62C-1973D865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DC"/>
    <w:pPr>
      <w:spacing w:after="200" w:line="276" w:lineRule="auto"/>
    </w:pPr>
    <w:rPr>
      <w:rFonts w:asciiTheme="minorHAnsi" w:hAnsiTheme="minorHAnsi" w:cstheme="minorBidi"/>
      <w:kern w:val="0"/>
      <w:sz w:val="22"/>
      <w:szCs w:val="22"/>
      <w14:ligatures w14:val="none"/>
    </w:rPr>
  </w:style>
  <w:style w:type="paragraph" w:styleId="Heading1">
    <w:name w:val="heading 1"/>
    <w:aliases w:val="Outline1"/>
    <w:basedOn w:val="Normal"/>
    <w:next w:val="Normal"/>
    <w:link w:val="Heading1Char"/>
    <w:uiPriority w:val="9"/>
    <w:qFormat/>
    <w:rsid w:val="00532B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2B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2BD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2BD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32BD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32BD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32BD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32BD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32BD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532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B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B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2B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2B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2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2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2B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2B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2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BD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2B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2BDC"/>
    <w:pPr>
      <w:spacing w:before="160" w:after="160" w:line="278"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32BDC"/>
    <w:rPr>
      <w:i/>
      <w:iCs/>
      <w:color w:val="404040" w:themeColor="text1" w:themeTint="BF"/>
    </w:rPr>
  </w:style>
  <w:style w:type="paragraph" w:styleId="ListParagraph">
    <w:name w:val="List Paragraph"/>
    <w:basedOn w:val="Normal"/>
    <w:uiPriority w:val="34"/>
    <w:qFormat/>
    <w:rsid w:val="00532BDC"/>
    <w:pPr>
      <w:spacing w:after="160" w:line="278" w:lineRule="auto"/>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532BDC"/>
    <w:rPr>
      <w:i/>
      <w:iCs/>
      <w:color w:val="0F4761" w:themeColor="accent1" w:themeShade="BF"/>
    </w:rPr>
  </w:style>
  <w:style w:type="paragraph" w:styleId="IntenseQuote">
    <w:name w:val="Intense Quote"/>
    <w:basedOn w:val="Normal"/>
    <w:next w:val="Normal"/>
    <w:link w:val="IntenseQuoteChar"/>
    <w:uiPriority w:val="30"/>
    <w:qFormat/>
    <w:rsid w:val="00532B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32BDC"/>
    <w:rPr>
      <w:i/>
      <w:iCs/>
      <w:color w:val="0F4761" w:themeColor="accent1" w:themeShade="BF"/>
    </w:rPr>
  </w:style>
  <w:style w:type="character" w:styleId="IntenseReference">
    <w:name w:val="Intense Reference"/>
    <w:basedOn w:val="DefaultParagraphFont"/>
    <w:uiPriority w:val="32"/>
    <w:qFormat/>
    <w:rsid w:val="00532BDC"/>
    <w:rPr>
      <w:b/>
      <w:bCs/>
      <w:smallCaps/>
      <w:color w:val="0F4761" w:themeColor="accent1" w:themeShade="BF"/>
      <w:spacing w:val="5"/>
    </w:rPr>
  </w:style>
  <w:style w:type="character" w:customStyle="1" w:styleId="apple-converted-space">
    <w:name w:val="apple-converted-space"/>
    <w:basedOn w:val="DefaultParagraphFont"/>
    <w:rsid w:val="00532BDC"/>
  </w:style>
  <w:style w:type="paragraph" w:styleId="FootnoteText">
    <w:name w:val="footnote text"/>
    <w:basedOn w:val="Normal"/>
    <w:link w:val="FootnoteTextChar"/>
    <w:uiPriority w:val="99"/>
    <w:unhideWhenUsed/>
    <w:rsid w:val="00532BDC"/>
    <w:pPr>
      <w:spacing w:after="0" w:line="240" w:lineRule="auto"/>
    </w:pPr>
    <w:rPr>
      <w:sz w:val="20"/>
      <w:szCs w:val="20"/>
    </w:rPr>
  </w:style>
  <w:style w:type="character" w:customStyle="1" w:styleId="FootnoteTextChar">
    <w:name w:val="Footnote Text Char"/>
    <w:basedOn w:val="DefaultParagraphFont"/>
    <w:link w:val="FootnoteText"/>
    <w:uiPriority w:val="99"/>
    <w:rsid w:val="00532BDC"/>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532BDC"/>
    <w:rPr>
      <w:vertAlign w:val="superscript"/>
    </w:rPr>
  </w:style>
  <w:style w:type="paragraph" w:styleId="Bibliography">
    <w:name w:val="Bibliography"/>
    <w:basedOn w:val="Normal"/>
    <w:next w:val="Normal"/>
    <w:uiPriority w:val="37"/>
    <w:unhideWhenUsed/>
    <w:rsid w:val="00532BDC"/>
    <w:pPr>
      <w:spacing w:before="120" w:after="120" w:line="360" w:lineRule="auto"/>
      <w:jc w:val="both"/>
    </w:pPr>
    <w:rPr>
      <w:rFonts w:ascii="Times New Roman" w:eastAsiaTheme="minorEastAsia" w:hAnsi="Times New Roman"/>
      <w:sz w:val="24"/>
    </w:rPr>
  </w:style>
  <w:style w:type="table" w:styleId="LightGrid-Accent5">
    <w:name w:val="Light Grid Accent 5"/>
    <w:basedOn w:val="TableNormal"/>
    <w:uiPriority w:val="62"/>
    <w:rsid w:val="00532BDC"/>
    <w:pPr>
      <w:spacing w:after="0" w:line="240" w:lineRule="auto"/>
    </w:pPr>
    <w:rPr>
      <w:rFonts w:asciiTheme="minorHAnsi" w:hAnsiTheme="minorHAnsi" w:cstheme="minorBidi"/>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character" w:customStyle="1" w:styleId="correction">
    <w:name w:val="correction"/>
    <w:basedOn w:val="DefaultParagraphFont"/>
    <w:rsid w:val="0053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Credit%20system%20data%202015%20(autum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wnloads\Credit%20system%20data%202015%20(autumn).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wnloads\Credit%20system%20data%202015%20(autum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a:lstStyle/>
          <a:p>
            <a:pPr>
              <a:defRPr sz="1050" b="0">
                <a:latin typeface="Times New Roman" pitchFamily="18" charset="0"/>
                <a:cs typeface="Times New Roman" pitchFamily="18" charset="0"/>
              </a:defRPr>
            </a:pPr>
            <a:r>
              <a:rPr lang="mn-MN" sz="1050" b="0">
                <a:latin typeface="Times New Roman" pitchFamily="18" charset="0"/>
                <a:cs typeface="Times New Roman" pitchFamily="18" charset="0"/>
              </a:rPr>
              <a:t>График-1 Дадлага хийгдсэн байгууллагууд салбараар</a:t>
            </a:r>
            <a:endParaRPr lang="en-US" sz="1050" b="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invertIfNegative val="0"/>
          <c:dLbls>
            <c:dLbl>
              <c:idx val="0"/>
              <c:tx>
                <c:rich>
                  <a:bodyPr/>
                  <a:lstStyle/>
                  <a:p>
                    <a:r>
                      <a:rPr lang="en-US" b="1"/>
                      <a:t>36.8%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26A-074C-9481-A991547F4850}"/>
                </c:ext>
              </c:extLst>
            </c:dLbl>
            <c:dLbl>
              <c:idx val="1"/>
              <c:tx>
                <c:rich>
                  <a:bodyPr/>
                  <a:lstStyle/>
                  <a:p>
                    <a:r>
                      <a:rPr lang="en-US" b="1"/>
                      <a:t>18.4%</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26A-074C-9481-A991547F4850}"/>
                </c:ext>
              </c:extLst>
            </c:dLbl>
            <c:dLbl>
              <c:idx val="2"/>
              <c:tx>
                <c:rich>
                  <a:bodyPr/>
                  <a:lstStyle/>
                  <a:p>
                    <a:r>
                      <a:rPr lang="en-US" b="1"/>
                      <a:t>20.8%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26A-074C-9481-A991547F4850}"/>
                </c:ext>
              </c:extLst>
            </c:dLbl>
            <c:dLbl>
              <c:idx val="3"/>
              <c:tx>
                <c:rich>
                  <a:bodyPr/>
                  <a:lstStyle/>
                  <a:p>
                    <a:r>
                      <a:rPr lang="en-US" b="1"/>
                      <a:t>24.0%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26A-074C-9481-A991547F4850}"/>
                </c:ext>
              </c:extLst>
            </c:dLbl>
            <c:spPr>
              <a:noFill/>
              <a:ln>
                <a:noFill/>
              </a:ln>
              <a:effectLst/>
            </c:spPr>
            <c:txPr>
              <a:bodyPr/>
              <a:lstStyle/>
              <a:p>
                <a:pPr>
                  <a:defRPr b="1"/>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'internship '!$C$11:$C$14</c:f>
              <c:strCache>
                <c:ptCount val="4"/>
                <c:pt idx="0">
                  <c:v>Хувийн компани</c:v>
                </c:pt>
                <c:pt idx="1">
                  <c:v>Төрийн өмчийн компани  </c:v>
                </c:pt>
                <c:pt idx="2">
                  <c:v>Төрийн байгууллага. </c:v>
                </c:pt>
                <c:pt idx="3">
                  <c:v>Хээрийн дадлага</c:v>
                </c:pt>
              </c:strCache>
            </c:strRef>
          </c:cat>
          <c:val>
            <c:numRef>
              <c:f>'internship '!$E$11:$E$14</c:f>
              <c:numCache>
                <c:formatCode>###0.0</c:formatCode>
                <c:ptCount val="4"/>
                <c:pt idx="0">
                  <c:v>36.799999999999997</c:v>
                </c:pt>
                <c:pt idx="1">
                  <c:v>18.399999999999999</c:v>
                </c:pt>
                <c:pt idx="2">
                  <c:v>20.8</c:v>
                </c:pt>
                <c:pt idx="3">
                  <c:v>24</c:v>
                </c:pt>
              </c:numCache>
            </c:numRef>
          </c:val>
          <c:extLst>
            <c:ext xmlns:c16="http://schemas.microsoft.com/office/drawing/2014/chart" uri="{C3380CC4-5D6E-409C-BE32-E72D297353CC}">
              <c16:uniqueId val="{00000004-626A-074C-9481-A991547F4850}"/>
            </c:ext>
          </c:extLst>
        </c:ser>
        <c:dLbls>
          <c:showLegendKey val="0"/>
          <c:showVal val="1"/>
          <c:showCatName val="0"/>
          <c:showSerName val="0"/>
          <c:showPercent val="0"/>
          <c:showBubbleSize val="0"/>
        </c:dLbls>
        <c:gapWidth val="150"/>
        <c:axId val="378995456"/>
        <c:axId val="378998144"/>
      </c:barChart>
      <c:catAx>
        <c:axId val="378995456"/>
        <c:scaling>
          <c:orientation val="minMax"/>
        </c:scaling>
        <c:delete val="0"/>
        <c:axPos val="l"/>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78998144"/>
        <c:crosses val="autoZero"/>
        <c:auto val="1"/>
        <c:lblAlgn val="ctr"/>
        <c:lblOffset val="100"/>
        <c:noMultiLvlLbl val="0"/>
      </c:catAx>
      <c:valAx>
        <c:axId val="378998144"/>
        <c:scaling>
          <c:orientation val="minMax"/>
        </c:scaling>
        <c:delete val="1"/>
        <c:axPos val="b"/>
        <c:majorGridlines>
          <c:spPr>
            <a:ln>
              <a:solidFill>
                <a:schemeClr val="accent1">
                  <a:lumMod val="50000"/>
                </a:schemeClr>
              </a:solidFill>
              <a:prstDash val="sysDash"/>
            </a:ln>
          </c:spPr>
        </c:majorGridlines>
        <c:numFmt formatCode="###0.0" sourceLinked="1"/>
        <c:majorTickMark val="none"/>
        <c:minorTickMark val="none"/>
        <c:tickLblPos val="nextTo"/>
        <c:crossAx val="378995456"/>
        <c:crosses val="autoZero"/>
        <c:crossBetween val="between"/>
      </c:valAx>
      <c:spPr>
        <a:solidFill>
          <a:schemeClr val="bg1"/>
        </a:solidFill>
      </c:spPr>
    </c:plotArea>
    <c:plotVisOnly val="1"/>
    <c:dispBlanksAs val="gap"/>
    <c:showDLblsOverMax val="0"/>
  </c:chart>
  <c:spPr>
    <a:ln>
      <a:solidFill>
        <a:schemeClr val="accent1">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000">
                <a:latin typeface="Times New Roman" pitchFamily="18" charset="0"/>
                <a:cs typeface="Times New Roman" pitchFamily="18" charset="0"/>
              </a:defRPr>
            </a:pPr>
            <a:r>
              <a:rPr lang="mn-MN" sz="1000" b="0">
                <a:latin typeface="Times New Roman" pitchFamily="18" charset="0"/>
                <a:cs typeface="Times New Roman" pitchFamily="18" charset="0"/>
              </a:rPr>
              <a:t>График-2 Байгууллагын салбараар дадлагын ажлын үр дүнг үнэлсэн байдал</a:t>
            </a:r>
            <a:endParaRPr lang="en-US" sz="1000" b="0">
              <a:latin typeface="Times New Roman" pitchFamily="18" charset="0"/>
              <a:cs typeface="Times New Roman" pitchFamily="18" charset="0"/>
            </a:endParaRPr>
          </a:p>
        </c:rich>
      </c:tx>
      <c:layout>
        <c:manualLayout>
          <c:xMode val="edge"/>
          <c:yMode val="edge"/>
          <c:x val="0.12742896107908799"/>
          <c:y val="0"/>
        </c:manualLayout>
      </c:layout>
      <c:overlay val="1"/>
    </c:title>
    <c:autoTitleDeleted val="0"/>
    <c:plotArea>
      <c:layout>
        <c:manualLayout>
          <c:layoutTarget val="inner"/>
          <c:xMode val="edge"/>
          <c:yMode val="edge"/>
          <c:x val="0.104246175920106"/>
          <c:y val="0.18406026873449299"/>
          <c:w val="0.60977777462090099"/>
          <c:h val="0.49336533882073402"/>
        </c:manualLayout>
      </c:layout>
      <c:barChart>
        <c:barDir val="col"/>
        <c:grouping val="clustered"/>
        <c:varyColors val="0"/>
        <c:ser>
          <c:idx val="0"/>
          <c:order val="0"/>
          <c:tx>
            <c:strRef>
              <c:f>Sheet3!$C$3</c:f>
              <c:strCache>
                <c:ptCount val="1"/>
                <c:pt idx="0">
                  <c:v>  Сайн үр дүнтэй байсан</c:v>
                </c:pt>
              </c:strCache>
            </c:strRef>
          </c:tx>
          <c:spPr>
            <a:solidFill>
              <a:schemeClr val="accent1"/>
            </a:solidFill>
            <a:ln>
              <a:solidFill>
                <a:schemeClr val="accent1">
                  <a:lumMod val="75000"/>
                </a:schemeClr>
              </a:solidFill>
            </a:ln>
          </c:spPr>
          <c:invertIfNegative val="0"/>
          <c:cat>
            <c:strRef>
              <c:f>Sheet3!$B$4:$B$7</c:f>
              <c:strCache>
                <c:ptCount val="4"/>
                <c:pt idx="0">
                  <c:v>Хувийн компани</c:v>
                </c:pt>
                <c:pt idx="1">
                  <c:v>Төрийн өмчийн компани  </c:v>
                </c:pt>
                <c:pt idx="2">
                  <c:v>Төрийн байгууллага. </c:v>
                </c:pt>
                <c:pt idx="3">
                  <c:v>Хээрийн дадлага</c:v>
                </c:pt>
              </c:strCache>
            </c:strRef>
          </c:cat>
          <c:val>
            <c:numRef>
              <c:f>Sheet3!$C$4:$C$7</c:f>
              <c:numCache>
                <c:formatCode>0.00%</c:formatCode>
                <c:ptCount val="4"/>
                <c:pt idx="0">
                  <c:v>0.192</c:v>
                </c:pt>
                <c:pt idx="1">
                  <c:v>9.6000000000000002E-2</c:v>
                </c:pt>
                <c:pt idx="2">
                  <c:v>0.12</c:v>
                </c:pt>
                <c:pt idx="3">
                  <c:v>0.128</c:v>
                </c:pt>
              </c:numCache>
            </c:numRef>
          </c:val>
          <c:extLst>
            <c:ext xmlns:c16="http://schemas.microsoft.com/office/drawing/2014/chart" uri="{C3380CC4-5D6E-409C-BE32-E72D297353CC}">
              <c16:uniqueId val="{00000000-FB9E-144D-8522-3268507585D4}"/>
            </c:ext>
          </c:extLst>
        </c:ser>
        <c:ser>
          <c:idx val="1"/>
          <c:order val="1"/>
          <c:tx>
            <c:strRef>
              <c:f>Sheet3!$D$3</c:f>
              <c:strCache>
                <c:ptCount val="1"/>
                <c:pt idx="0">
                  <c:v>За яахав даа дунд зэрэг байсан    </c:v>
                </c:pt>
              </c:strCache>
            </c:strRef>
          </c:tx>
          <c:spPr>
            <a:solidFill>
              <a:schemeClr val="accent2">
                <a:lumMod val="75000"/>
              </a:schemeClr>
            </a:solidFill>
            <a:ln>
              <a:solidFill>
                <a:schemeClr val="accent2">
                  <a:lumMod val="75000"/>
                </a:schemeClr>
              </a:solidFill>
            </a:ln>
          </c:spPr>
          <c:invertIfNegative val="0"/>
          <c:cat>
            <c:strRef>
              <c:f>Sheet3!$B$4:$B$7</c:f>
              <c:strCache>
                <c:ptCount val="4"/>
                <c:pt idx="0">
                  <c:v>Хувийн компани</c:v>
                </c:pt>
                <c:pt idx="1">
                  <c:v>Төрийн өмчийн компани  </c:v>
                </c:pt>
                <c:pt idx="2">
                  <c:v>Төрийн байгууллага. </c:v>
                </c:pt>
                <c:pt idx="3">
                  <c:v>Хээрийн дадлага</c:v>
                </c:pt>
              </c:strCache>
            </c:strRef>
          </c:cat>
          <c:val>
            <c:numRef>
              <c:f>Sheet3!$D$4:$D$7</c:f>
              <c:numCache>
                <c:formatCode>0.00%</c:formatCode>
                <c:ptCount val="4"/>
                <c:pt idx="0">
                  <c:v>0.128</c:v>
                </c:pt>
                <c:pt idx="1">
                  <c:v>0.08</c:v>
                </c:pt>
                <c:pt idx="2">
                  <c:v>0.08</c:v>
                </c:pt>
                <c:pt idx="3">
                  <c:v>0.08</c:v>
                </c:pt>
              </c:numCache>
            </c:numRef>
          </c:val>
          <c:extLst>
            <c:ext xmlns:c16="http://schemas.microsoft.com/office/drawing/2014/chart" uri="{C3380CC4-5D6E-409C-BE32-E72D297353CC}">
              <c16:uniqueId val="{00000001-FB9E-144D-8522-3268507585D4}"/>
            </c:ext>
          </c:extLst>
        </c:ser>
        <c:ser>
          <c:idx val="2"/>
          <c:order val="2"/>
          <c:tx>
            <c:strRef>
              <c:f>Sheet3!$E$3</c:f>
              <c:strCache>
                <c:ptCount val="1"/>
                <c:pt idx="0">
                  <c:v>Ямар ч үр дүнгүй муу байсан  </c:v>
                </c:pt>
              </c:strCache>
            </c:strRef>
          </c:tx>
          <c:spPr>
            <a:solidFill>
              <a:schemeClr val="accent3">
                <a:lumMod val="75000"/>
              </a:schemeClr>
            </a:solidFill>
            <a:ln>
              <a:solidFill>
                <a:schemeClr val="accent3">
                  <a:lumMod val="75000"/>
                </a:schemeClr>
              </a:solidFill>
            </a:ln>
          </c:spPr>
          <c:invertIfNegative val="0"/>
          <c:cat>
            <c:strRef>
              <c:f>Sheet3!$B$4:$B$7</c:f>
              <c:strCache>
                <c:ptCount val="4"/>
                <c:pt idx="0">
                  <c:v>Хувийн компани</c:v>
                </c:pt>
                <c:pt idx="1">
                  <c:v>Төрийн өмчийн компани  </c:v>
                </c:pt>
                <c:pt idx="2">
                  <c:v>Төрийн байгууллага. </c:v>
                </c:pt>
                <c:pt idx="3">
                  <c:v>Хээрийн дадлага</c:v>
                </c:pt>
              </c:strCache>
            </c:strRef>
          </c:cat>
          <c:val>
            <c:numRef>
              <c:f>Sheet3!$E$4:$E$7</c:f>
              <c:numCache>
                <c:formatCode>0.00%</c:formatCode>
                <c:ptCount val="4"/>
                <c:pt idx="0">
                  <c:v>3.2000000000000001E-2</c:v>
                </c:pt>
                <c:pt idx="1">
                  <c:v>8.0000000000000106E-3</c:v>
                </c:pt>
                <c:pt idx="2">
                  <c:v>8.0000000000000106E-3</c:v>
                </c:pt>
                <c:pt idx="3">
                  <c:v>8.0000000000000106E-3</c:v>
                </c:pt>
              </c:numCache>
            </c:numRef>
          </c:val>
          <c:extLst>
            <c:ext xmlns:c16="http://schemas.microsoft.com/office/drawing/2014/chart" uri="{C3380CC4-5D6E-409C-BE32-E72D297353CC}">
              <c16:uniqueId val="{00000002-FB9E-144D-8522-3268507585D4}"/>
            </c:ext>
          </c:extLst>
        </c:ser>
        <c:ser>
          <c:idx val="3"/>
          <c:order val="3"/>
          <c:tx>
            <c:strRef>
              <c:f>Sheet3!$F$3</c:f>
              <c:strCache>
                <c:ptCount val="1"/>
                <c:pt idx="0">
                  <c:v>Хэлж мэдэхгүй байна</c:v>
                </c:pt>
              </c:strCache>
            </c:strRef>
          </c:tx>
          <c:spPr>
            <a:solidFill>
              <a:schemeClr val="accent4">
                <a:lumMod val="75000"/>
              </a:schemeClr>
            </a:solidFill>
            <a:ln>
              <a:solidFill>
                <a:schemeClr val="accent4">
                  <a:lumMod val="50000"/>
                </a:schemeClr>
              </a:solidFill>
            </a:ln>
          </c:spPr>
          <c:invertIfNegative val="0"/>
          <c:cat>
            <c:strRef>
              <c:f>Sheet3!$B$4:$B$7</c:f>
              <c:strCache>
                <c:ptCount val="4"/>
                <c:pt idx="0">
                  <c:v>Хувийн компани</c:v>
                </c:pt>
                <c:pt idx="1">
                  <c:v>Төрийн өмчийн компани  </c:v>
                </c:pt>
                <c:pt idx="2">
                  <c:v>Төрийн байгууллага. </c:v>
                </c:pt>
                <c:pt idx="3">
                  <c:v>Хээрийн дадлага</c:v>
                </c:pt>
              </c:strCache>
            </c:strRef>
          </c:cat>
          <c:val>
            <c:numRef>
              <c:f>Sheet3!$F$4:$F$7</c:f>
              <c:numCache>
                <c:formatCode>0.00%</c:formatCode>
                <c:ptCount val="4"/>
                <c:pt idx="0">
                  <c:v>1.6E-2</c:v>
                </c:pt>
                <c:pt idx="1">
                  <c:v>0</c:v>
                </c:pt>
                <c:pt idx="2">
                  <c:v>0</c:v>
                </c:pt>
                <c:pt idx="3">
                  <c:v>2.4E-2</c:v>
                </c:pt>
              </c:numCache>
            </c:numRef>
          </c:val>
          <c:extLst>
            <c:ext xmlns:c16="http://schemas.microsoft.com/office/drawing/2014/chart" uri="{C3380CC4-5D6E-409C-BE32-E72D297353CC}">
              <c16:uniqueId val="{00000003-FB9E-144D-8522-3268507585D4}"/>
            </c:ext>
          </c:extLst>
        </c:ser>
        <c:dLbls>
          <c:showLegendKey val="0"/>
          <c:showVal val="0"/>
          <c:showCatName val="0"/>
          <c:showSerName val="0"/>
          <c:showPercent val="0"/>
          <c:showBubbleSize val="0"/>
        </c:dLbls>
        <c:gapWidth val="150"/>
        <c:axId val="379041280"/>
        <c:axId val="379042816"/>
      </c:barChart>
      <c:catAx>
        <c:axId val="379041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79042816"/>
        <c:crosses val="autoZero"/>
        <c:auto val="1"/>
        <c:lblAlgn val="ctr"/>
        <c:lblOffset val="100"/>
        <c:noMultiLvlLbl val="0"/>
      </c:catAx>
      <c:valAx>
        <c:axId val="379042816"/>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79041280"/>
        <c:crosses val="autoZero"/>
        <c:crossBetween val="between"/>
      </c:valAx>
    </c:plotArea>
    <c:legend>
      <c:legendPos val="r"/>
      <c:layout>
        <c:manualLayout>
          <c:xMode val="edge"/>
          <c:yMode val="edge"/>
          <c:x val="0.72082214374452402"/>
          <c:y val="0.15580239100826801"/>
          <c:w val="0.27692423900428498"/>
          <c:h val="0.84292148743276196"/>
        </c:manualLayout>
      </c:layout>
      <c:overlay val="0"/>
      <c:txPr>
        <a:bodyPr/>
        <a:lstStyle/>
        <a:p>
          <a:pPr>
            <a:defRPr sz="900">
              <a:latin typeface="Times New Roman" pitchFamily="18" charset="0"/>
              <a:cs typeface="Times New Roman" pitchFamily="18" charset="0"/>
            </a:defRPr>
          </a:pPr>
          <a:endParaRPr lang="en-US"/>
        </a:p>
      </c:txPr>
    </c:legend>
    <c:plotVisOnly val="1"/>
    <c:dispBlanksAs val="gap"/>
    <c:showDLblsOverMax val="0"/>
  </c:chart>
  <c:spPr>
    <a:ln>
      <a:solidFill>
        <a:schemeClr val="accent1">
          <a:lumMod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latin typeface="Times New Roman" pitchFamily="18" charset="0"/>
                <a:cs typeface="Times New Roman" pitchFamily="18" charset="0"/>
              </a:defRPr>
            </a:pPr>
            <a:r>
              <a:rPr lang="mn-MN" sz="1050" b="0">
                <a:latin typeface="Times New Roman" pitchFamily="18" charset="0"/>
                <a:cs typeface="Times New Roman" pitchFamily="18" charset="0"/>
              </a:rPr>
              <a:t>График-3 Дадлагын ажлын үр өгөөжийг байгууллагын салбараар үнэлсэн үнэлгээ</a:t>
            </a:r>
            <a:endParaRPr lang="en-US" sz="1050" b="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Sheet3!$E$14</c:f>
              <c:strCache>
                <c:ptCount val="1"/>
                <c:pt idx="0">
                  <c:v>Ажил олгогчийн ажлын байрны талаар мэдээлэл авч чадсан, сайн үр дүнтэй байсан</c:v>
                </c:pt>
              </c:strCache>
            </c:strRef>
          </c:tx>
          <c:spPr>
            <a:solidFill>
              <a:schemeClr val="accent1"/>
            </a:solidFill>
            <a:ln>
              <a:solidFill>
                <a:schemeClr val="tx2"/>
              </a:solidFill>
            </a:ln>
          </c:spPr>
          <c:invertIfNegative val="0"/>
          <c:cat>
            <c:strRef>
              <c:f>Sheet3!$D$15:$D$18</c:f>
              <c:strCache>
                <c:ptCount val="4"/>
                <c:pt idx="0">
                  <c:v>Хувийн компани</c:v>
                </c:pt>
                <c:pt idx="1">
                  <c:v>Төрийн өмчийн компани  </c:v>
                </c:pt>
                <c:pt idx="2">
                  <c:v>Төрийн байгууллага. </c:v>
                </c:pt>
                <c:pt idx="3">
                  <c:v>Хээрийн дадлага</c:v>
                </c:pt>
              </c:strCache>
            </c:strRef>
          </c:cat>
          <c:val>
            <c:numRef>
              <c:f>Sheet3!$E$15:$E$18</c:f>
              <c:numCache>
                <c:formatCode>0.00%</c:formatCode>
                <c:ptCount val="4"/>
                <c:pt idx="0">
                  <c:v>0.19400000000000001</c:v>
                </c:pt>
                <c:pt idx="1">
                  <c:v>5.6000000000000001E-2</c:v>
                </c:pt>
                <c:pt idx="2">
                  <c:v>0.121</c:v>
                </c:pt>
                <c:pt idx="3">
                  <c:v>6.5000000000000002E-2</c:v>
                </c:pt>
              </c:numCache>
            </c:numRef>
          </c:val>
          <c:extLst>
            <c:ext xmlns:c16="http://schemas.microsoft.com/office/drawing/2014/chart" uri="{C3380CC4-5D6E-409C-BE32-E72D297353CC}">
              <c16:uniqueId val="{00000000-2277-9045-AB14-2D557898B8BC}"/>
            </c:ext>
          </c:extLst>
        </c:ser>
        <c:ser>
          <c:idx val="1"/>
          <c:order val="1"/>
          <c:tx>
            <c:strRef>
              <c:f>Sheet3!$F$14</c:f>
              <c:strCache>
                <c:ptCount val="1"/>
                <c:pt idx="0">
                  <c:v> Ажил олгогчийн ажлын байрны талаар зарим мэдээллийг олж авсан, үр дүн дунд зэрэг байсан</c:v>
                </c:pt>
              </c:strCache>
            </c:strRef>
          </c:tx>
          <c:spPr>
            <a:solidFill>
              <a:schemeClr val="accent2">
                <a:lumMod val="75000"/>
              </a:schemeClr>
            </a:solidFill>
            <a:ln>
              <a:solidFill>
                <a:schemeClr val="accent2">
                  <a:lumMod val="75000"/>
                </a:schemeClr>
              </a:solidFill>
            </a:ln>
          </c:spPr>
          <c:invertIfNegative val="0"/>
          <c:cat>
            <c:strRef>
              <c:f>Sheet3!$D$15:$D$18</c:f>
              <c:strCache>
                <c:ptCount val="4"/>
                <c:pt idx="0">
                  <c:v>Хувийн компани</c:v>
                </c:pt>
                <c:pt idx="1">
                  <c:v>Төрийн өмчийн компани  </c:v>
                </c:pt>
                <c:pt idx="2">
                  <c:v>Төрийн байгууллага. </c:v>
                </c:pt>
                <c:pt idx="3">
                  <c:v>Хээрийн дадлага</c:v>
                </c:pt>
              </c:strCache>
            </c:strRef>
          </c:cat>
          <c:val>
            <c:numRef>
              <c:f>Sheet3!$F$15:$F$18</c:f>
              <c:numCache>
                <c:formatCode>0.00%</c:formatCode>
                <c:ptCount val="4"/>
                <c:pt idx="0">
                  <c:v>0.14499999999999999</c:v>
                </c:pt>
                <c:pt idx="1">
                  <c:v>0.129</c:v>
                </c:pt>
                <c:pt idx="2">
                  <c:v>7.2999999999999995E-2</c:v>
                </c:pt>
                <c:pt idx="3">
                  <c:v>8.9000000000000107E-2</c:v>
                </c:pt>
              </c:numCache>
            </c:numRef>
          </c:val>
          <c:extLst>
            <c:ext xmlns:c16="http://schemas.microsoft.com/office/drawing/2014/chart" uri="{C3380CC4-5D6E-409C-BE32-E72D297353CC}">
              <c16:uniqueId val="{00000001-2277-9045-AB14-2D557898B8BC}"/>
            </c:ext>
          </c:extLst>
        </c:ser>
        <c:ser>
          <c:idx val="2"/>
          <c:order val="2"/>
          <c:tx>
            <c:strRef>
              <c:f>Sheet3!$G$14</c:f>
              <c:strCache>
                <c:ptCount val="1"/>
                <c:pt idx="0">
                  <c:v>Ажил олгогчийн ажлын байрны талаар мэдээлэл аваагүй, үр дүн муутай байсан </c:v>
                </c:pt>
              </c:strCache>
            </c:strRef>
          </c:tx>
          <c:spPr>
            <a:solidFill>
              <a:schemeClr val="accent3">
                <a:lumMod val="75000"/>
              </a:schemeClr>
            </a:solidFill>
            <a:ln>
              <a:solidFill>
                <a:schemeClr val="accent3">
                  <a:lumMod val="75000"/>
                </a:schemeClr>
              </a:solidFill>
            </a:ln>
          </c:spPr>
          <c:invertIfNegative val="0"/>
          <c:cat>
            <c:strRef>
              <c:f>Sheet3!$D$15:$D$18</c:f>
              <c:strCache>
                <c:ptCount val="4"/>
                <c:pt idx="0">
                  <c:v>Хувийн компани</c:v>
                </c:pt>
                <c:pt idx="1">
                  <c:v>Төрийн өмчийн компани  </c:v>
                </c:pt>
                <c:pt idx="2">
                  <c:v>Төрийн байгууллага. </c:v>
                </c:pt>
                <c:pt idx="3">
                  <c:v>Хээрийн дадлага</c:v>
                </c:pt>
              </c:strCache>
            </c:strRef>
          </c:cat>
          <c:val>
            <c:numRef>
              <c:f>Sheet3!$G$15:$G$18</c:f>
              <c:numCache>
                <c:formatCode>0.00%</c:formatCode>
                <c:ptCount val="4"/>
                <c:pt idx="0">
                  <c:v>3.2000000000000001E-2</c:v>
                </c:pt>
                <c:pt idx="1">
                  <c:v>0</c:v>
                </c:pt>
                <c:pt idx="2">
                  <c:v>1.6E-2</c:v>
                </c:pt>
                <c:pt idx="3">
                  <c:v>8.1000000000000003E-2</c:v>
                </c:pt>
              </c:numCache>
            </c:numRef>
          </c:val>
          <c:extLst>
            <c:ext xmlns:c16="http://schemas.microsoft.com/office/drawing/2014/chart" uri="{C3380CC4-5D6E-409C-BE32-E72D297353CC}">
              <c16:uniqueId val="{00000002-2277-9045-AB14-2D557898B8BC}"/>
            </c:ext>
          </c:extLst>
        </c:ser>
        <c:dLbls>
          <c:showLegendKey val="0"/>
          <c:showVal val="0"/>
          <c:showCatName val="0"/>
          <c:showSerName val="0"/>
          <c:showPercent val="0"/>
          <c:showBubbleSize val="0"/>
        </c:dLbls>
        <c:gapWidth val="150"/>
        <c:axId val="382284544"/>
        <c:axId val="382286080"/>
      </c:barChart>
      <c:catAx>
        <c:axId val="38228454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382286080"/>
        <c:crosses val="autoZero"/>
        <c:auto val="1"/>
        <c:lblAlgn val="ctr"/>
        <c:lblOffset val="100"/>
        <c:noMultiLvlLbl val="0"/>
      </c:catAx>
      <c:valAx>
        <c:axId val="382286080"/>
        <c:scaling>
          <c:orientation val="minMax"/>
        </c:scaling>
        <c:delete val="0"/>
        <c:axPos val="l"/>
        <c:majorGridlines/>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382284544"/>
        <c:crosses val="autoZero"/>
        <c:crossBetween val="between"/>
      </c:valAx>
    </c:plotArea>
    <c:legend>
      <c:legendPos val="r"/>
      <c:layout>
        <c:manualLayout>
          <c:xMode val="edge"/>
          <c:yMode val="edge"/>
          <c:x val="0.64709081022294801"/>
          <c:y val="0.29558528484910301"/>
          <c:w val="0.33985861881457402"/>
          <c:h val="0.60300418758334895"/>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a:solidFill>
        <a:schemeClr val="accent1">
          <a:lumMod val="50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ИРИ15</b:Tag>
    <b:SourceType>Book</b:SourceType>
    <b:Guid>{95E5FBB6-FFE3-4598-8D85-CC1106F515C0}</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10</b:RefOrder>
  </b:Source>
  <b:Source>
    <b:Tag>Дав15</b:Tag>
    <b:SourceType>Report</b:SourceType>
    <b:Guid>{12545B91-81A2-4780-B9B4-C8A7CAB5FB29}</b:Guid>
    <b:Title>Монгол улсын аж үйлдвэрийн салбаруудын технологийн түвшний үнэлгээ, технологийн бэлэн байдал</b:Title>
    <b:Year>2015</b:Year>
    <b:City>Улаанбаатар</b:City>
    <b:Publisher>Технологийн хөгжлийн хүрээлэн ТББ</b:Publisher>
    <b:Author>
      <b:Author>
        <b:NameList>
          <b:Person>
            <b:Last>Даваасүрэн</b:Last>
            <b:First>Б</b:First>
          </b:Person>
        </b:NameList>
      </b:Author>
    </b:Author>
    <b:RefOrder>11</b:RefOrder>
  </b:Source>
  <b:Source>
    <b:Tag>Min58</b:Tag>
    <b:SourceType>JournalArticle</b:SourceType>
    <b:Guid>{98DD70E5-6FCF-433F-88E7-ED977164EFD8}</b:Guid>
    <b:Author>
      <b:Author>
        <b:NameList>
          <b:Person>
            <b:Last>Mincer</b:Last>
            <b:First>J.</b:First>
          </b:Person>
        </b:NameList>
      </b:Author>
    </b:Author>
    <b:Title>Investment in Human Capital and Personal Income Distribution</b:Title>
    <b:JournalName>Journal of Political Economy</b:JournalName>
    <b:Year>1958</b:Year>
    <b:Pages>66 (4): 281-302</b:Pages>
    <b:RefOrder>1</b:RefOrder>
  </b:Source>
  <b:Source>
    <b:Tag>Cla14</b:Tag>
    <b:SourceType>Report</b:SourceType>
    <b:Guid>{A4A172F0-2359-461A-A850-D44A30CF1815}</b:Guid>
    <b:Author>
      <b:Author>
        <b:NameList>
          <b:Person>
            <b:Last>Claudio</b:Last>
            <b:First>Montenegro</b:First>
          </b:Person>
          <b:Person>
            <b:Last>Patrinos</b:Last>
            <b:First>Harry</b:First>
          </b:Person>
        </b:NameList>
      </b:Author>
    </b:Author>
    <b:Title>Comparable Estimates of Returns to Schooling Around the World</b:Title>
    <b:Year>2014</b:Year>
    <b:Publisher>World bank group</b:Publisher>
    <b:RefOrder>2</b:RefOrder>
  </b:Source>
  <b:Source>
    <b:Tag>Cri12</b:Tag>
    <b:SourceType>ArticleInAPeriodical</b:SourceType>
    <b:Guid>{6D6940EF-FD09-4FAF-8034-E752CCD71CA5}</b:Guid>
    <b:Author>
      <b:Author>
        <b:NameList>
          <b:Person>
            <b:Last>Crivellaro</b:Last>
            <b:First>E.</b:First>
          </b:Person>
        </b:NameList>
      </b:Author>
    </b:Author>
    <b:Title>Returns to college over time: trends in Europe in the last 15 years. Stuck on the puzzle</b:Title>
    <b:Year>2012</b:Year>
    <b:PeriodicalTitle>Working Paper No. 146. University of Padova</b:PeriodicalTitle>
    <b:LCID>uz-Cyrl-UZ</b:LCID>
    <b:RefOrder>3</b:RefOrder>
  </b:Source>
  <b:Source>
    <b:Tag>DLk14</b:Tag>
    <b:SourceType>JournalArticle</b:SourceType>
    <b:Guid>{C9C7E183-F3B3-42E8-AF1A-8273D0765894}</b:Guid>
    <b:Author>
      <b:Author>
        <b:NameList>
          <b:Person>
            <b:Last>Lkhagvasuren</b:Last>
            <b:First>D.</b:First>
          </b:Person>
        </b:NameList>
      </b:Author>
    </b:Author>
    <b:Title>Education, Mobility and the College Wage Premium</b:Title>
    <b:JournalName>European Economic Review</b:JournalName>
    <b:Year>2014</b:Year>
    <b:Pages>Vol 67: 159-173</b:Pages>
    <b:RefOrder>4</b:RefOrder>
  </b:Source>
  <b:Source>
    <b:Tag>Kru10</b:Tag>
    <b:SourceType>JournalArticle</b:SourceType>
    <b:Guid>{D0BFA0FA-410B-4538-9FDC-B6819882FA40}</b:Guid>
    <b:Author>
      <b:Author>
        <b:NameList>
          <b:Person>
            <b:Last>Krueger</b:Last>
            <b:First>D.,</b:First>
            <b:Middle>Perri, F., Pistaferri, L., Violante, G. L.</b:Middle>
          </b:Person>
        </b:NameList>
      </b:Author>
    </b:Author>
    <b:Title>Cross-sectional facts for macroeconomists</b:Title>
    <b:JournalName>Review of Economic Dynamics</b:JournalName>
    <b:Year>2010</b:Year>
    <b:Pages> 13 (1), 1–14.</b:Pages>
    <b:RefOrder>5</b:RefOrder>
  </b:Source>
  <b:Source>
    <b:Tag>Dah02</b:Tag>
    <b:SourceType>JournalArticle</b:SourceType>
    <b:Guid>{8E728595-7BCD-42A0-A934-553807D58481}</b:Guid>
    <b:Author>
      <b:Author>
        <b:NameList>
          <b:Person>
            <b:Last>Dahl</b:Last>
            <b:First>G.</b:First>
          </b:Person>
        </b:NameList>
      </b:Author>
    </b:Author>
    <b:Title>Mobility and the return to education: Testing a Roy model with multiple markets</b:Title>
    <b:JournalName>Econometrica</b:JournalName>
    <b:Year>2002</b:Year>
    <b:Pages>70 (6), 2367–2420</b:Pages>
    <b:RefOrder>6</b:RefOrder>
  </b:Source>
  <b:Source>
    <b:Tag>Mac12</b:Tag>
    <b:SourceType>JournalArticle</b:SourceType>
    <b:Guid>{33771EC9-4756-4D02-A103-410B58EDB437}</b:Guid>
    <b:Author>
      <b:Author>
        <b:NameList>
          <b:Person>
            <b:Last>Machin</b:Last>
            <b:First>S.,</b:First>
            <b:Middle>Pelkonen, P., Salvanes, K. G.</b:Middle>
          </b:Person>
        </b:NameList>
      </b:Author>
    </b:Author>
    <b:Title>Education and mobility</b:Title>
    <b:JournalName>Journal of the European Economic Association</b:JournalName>
    <b:Year>2012</b:Year>
    <b:Pages>10 (2), 1–15</b:Pages>
    <b:RefOrder>7</b:RefOrder>
  </b:Source>
  <b:Source>
    <b:Tag>Mal12</b:Tag>
    <b:SourceType>JournalArticle</b:SourceType>
    <b:Guid>{22AF06CA-8FC2-4C9C-8214-5A4A425D398E}</b:Guid>
    <b:Author>
      <b:Author>
        <b:NameList>
          <b:Person>
            <b:Last>Malamud</b:Last>
            <b:First>O.,</b:First>
            <b:Middle>Wozniak, A. K.</b:Middle>
          </b:Person>
        </b:NameList>
      </b:Author>
    </b:Author>
    <b:Title>The impact of college education on geographic mobility</b:Title>
    <b:JournalName>Journal of Human Resources</b:JournalName>
    <b:Year>2012</b:Year>
    <b:Pages> 47 (4), 913–950</b:Pages>
    <b:RefOrder>8</b:RefOrder>
  </b:Source>
  <b:Source>
    <b:Tag>Bil00</b:Tag>
    <b:SourceType>JournalArticle</b:SourceType>
    <b:Guid>{66D04888-1591-48DA-B625-208F8ED8C738}</b:Guid>
    <b:LCID>uz-Cyrl-UZ</b:LCID>
    <b:Author>
      <b:Author>
        <b:NameList>
          <b:Person>
            <b:Last>Bils</b:Last>
            <b:First>M</b:First>
          </b:Person>
          <b:Person>
            <b:Last>Klenow</b:Last>
            <b:First>P</b:First>
          </b:Person>
        </b:NameList>
      </b:Author>
    </b:Author>
    <b:Title>Does Schooling Cause Growth?</b:Title>
    <b:Year>2000</b:Year>
    <b:JournalName>American Economic Review</b:JournalName>
    <b:Pages>1160-1183</b:Pages>
    <b:Issue>5</b:Issue>
    <b:Volume>90</b:Volume>
    <b:RefOrder>9</b:RefOrder>
  </b:Source>
  <b:Source>
    <b:Tag>БСШ07</b:Tag>
    <b:SourceType>Book</b:SourceType>
    <b:Guid>{3E042EFF-6F5D-47D4-9478-60E4DDDD3394}</b:Guid>
    <b:Author>
      <b:Author>
        <b:NameList>
          <b:Person>
            <b:Last>БСШУ</b:Last>
          </b:Person>
        </b:NameList>
      </b:Author>
    </b:Author>
    <b:Title>Монгол Улсын Шинжлэх Ухаан, Технологийг 2007-2020 онд хөгжүүлэх мастер төлөвлөгөө</b:Title>
    <b:Year>2007</b:Year>
    <b:City>Улаанбаатар</b:City>
    <b:Publisher>Содпресс</b:Publisher>
    <b:RefOrder>21</b:RefOrder>
  </b:Source>
  <b:Source>
    <b:Tag>БСШ14</b:Tag>
    <b:SourceType>Book</b:SourceType>
    <b:Guid>{7A5A1E21-1A89-49E6-9134-9C301F8F9028}</b:Guid>
    <b:Author>
      <b:Author>
        <b:NameList>
          <b:Person>
            <b:Last>БСШУЯ</b:Last>
          </b:Person>
        </b:NameList>
      </b:Author>
    </b:Author>
    <b:Title>Эрдэм шинжилгээний байгууллагын дэргэд гарааны компани байгуулах журам</b:Title>
    <b:Year>2014</b:Year>
    <b:City>Улаанбаатар</b:City>
    <b:RefOrder>22</b:RefOrder>
  </b:Source>
  <b:Source>
    <b:Tag>МУЗ11</b:Tag>
    <b:SourceType>Book</b:SourceType>
    <b:Guid>{99E68D81-21E5-4992-AC37-028A9D9C6413}</b:Guid>
    <b:Author>
      <b:Author>
        <b:NameList>
          <b:Person>
            <b:Last>МУЗГ</b:Last>
          </b:Person>
        </b:NameList>
      </b:Author>
    </b:Author>
    <b:Title>Хувийн хэвшлийн хөгжлийг дэмжих үндэсний стратеги</b:Title>
    <b:Year>2011</b:Year>
    <b:City>Улаанбаатар</b:City>
    <b:RefOrder>23</b:RefOrder>
  </b:Source>
  <b:Source>
    <b:Tag>УИХ06</b:Tag>
    <b:SourceType>Book</b:SourceType>
    <b:Guid>{2DD93A2F-8EA0-4599-BDD8-D426328953EB}</b:Guid>
    <b:Author>
      <b:Author>
        <b:NameList>
          <b:Person>
            <b:Last>УИХ</b:Last>
          </b:Person>
        </b:NameList>
      </b:Author>
    </b:Author>
    <b:Title>Шинжлэх ухаан, технологийн тухай хууль</b:Title>
    <b:Year>2006</b:Year>
    <b:City>Улаанбаатар</b:City>
    <b:RefOrder>24</b:RefOrder>
  </b:Source>
  <b:Source>
    <b:Tag>Там13</b:Tag>
    <b:SourceType>Report</b:SourceType>
    <b:Guid>{3CB74327-1780-4D45-9040-9A08A16B7529}</b:Guid>
    <b:Author>
      <b:Author>
        <b:Corporate>Тамир, Ч., Мөнхбат, Л</b:Corporate>
      </b:Author>
    </b:Author>
    <b:Title>Монголын дээд боловсролын бодлого: үнэлгээ ба шинжилгээ</b:Title>
    <b:Year>2013</b:Year>
    <b:Publisher>Пикселс</b:Publisher>
    <b:City>Улаанбаатар</b:City>
    <b:RefOrder>25</b:RefOrder>
  </b:Source>
  <b:Source>
    <b:Tag>Арв09</b:Tag>
    <b:SourceType>Report</b:SourceType>
    <b:Guid>{FFE73C50-87EB-4C97-9F20-45FC7E754DC1}</b:Guid>
    <b:Author>
      <b:Author>
        <b:NameList>
          <b:Person>
            <b:Last>Арвинбаяр</b:Last>
            <b:First>Б</b:First>
          </b:Person>
        </b:NameList>
      </b:Author>
    </b:Author>
    <b:Title>Шинжлэх ухааны технологийн сангийн зарцуулалт, үр дүнгийн мониторинг</b:Title>
    <b:Year>2009</b:Year>
    <b:Publisher>Нээлттэй Нийгэм Форум</b:Publisher>
    <b:City>2009</b:City>
    <b:RefOrder>26</b:RefOrder>
  </b:Source>
  <b:Source>
    <b:Tag>Ажү15</b:Tag>
    <b:SourceType>Report</b:SourceType>
    <b:Guid>{375F7F24-6124-4439-BE4B-17DA86A699B5}</b:Guid>
    <b:Author>
      <b:Author>
        <b:NameList>
          <b:Person>
            <b:Last>яам</b:Last>
            <b:First>Аж</b:First>
            <b:Middle>үйлдвэрийн</b:Middle>
          </b:Person>
        </b:NameList>
      </b:Author>
    </b:Author>
    <b:Title>Аж үйлдвэрийн талаар баримтлах бодлого</b:Title>
    <b:Year>2015</b:Year>
    <b:City>Улаанбаатар</b:City>
    <b:RefOrder>27</b:RefOrder>
  </b:Source>
  <b:Source>
    <b:Tag>Мон07</b:Tag>
    <b:SourceType>Book</b:SourceType>
    <b:Guid>{07F26ACA-76A5-43AD-8435-D0E8871EE80F}</b:Guid>
    <b:Title>Монгол улсад үндэсний инновацийн тогтолцоог хөгжүүлэх хөтөлбөр (2008-2015)</b:Title>
    <b:Year>2007</b:Year>
    <b:City>Улаанбаатар</b:City>
    <b:RefOrder>28</b:RefOrder>
  </b:Source>
  <b:Source>
    <b:Tag>МУЗ92</b:Tag>
    <b:SourceType>JournalArticle</b:SourceType>
    <b:Guid>{91E1DE0B-DD36-48C5-9E93-9A0F7E67B9A0}</b:Guid>
    <b:Author>
      <b:Author>
        <b:NameList>
          <b:Person>
            <b:Last>МУЗГ</b:Last>
          </b:Person>
        </b:NameList>
      </b:Author>
    </b:Author>
    <b:Title>Монгол улсын засгийн газрын мөрийн хөтөлбөр /1992-1996/</b:Title>
    <b:JournalName>Үнэн</b:JournalName>
    <b:Year>1992</b:Year>
    <b:Pages>1</b:Pages>
    <b:RefOrder>29</b:RefOrder>
  </b:Source>
  <b:Source>
    <b:Tag>Bra94</b:Tag>
    <b:SourceType>JournalArticle</b:SourceType>
    <b:Guid>{2A0C3185-83CE-46A8-99D3-35E8CA229C41}</b:Guid>
    <b:Author>
      <b:Author>
        <b:Corporate>Bray, Mark, Surengiin Davaa, Seth Spaulding, and John C. Weidman. </b:Corporate>
      </b:Author>
    </b:Author>
    <b:Title>Transition from Socialism and the Financing of Higher Education: The case of Mongolia</b:Title>
    <b:JournalName>Higher Education Policy</b:JournalName>
    <b:Year>1994</b:Year>
    <b:Pages>36-42</b:Pages>
    <b:RefOrder>30</b:RefOrder>
  </b:Source>
  <b:Source>
    <b:Tag>Placeholder1</b:Tag>
    <b:SourceType>Book</b:SourceType>
    <b:Guid>{0AFD6851-8C81-4457-801C-F223A8CC9FEF}</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31</b:RefOrder>
  </b:Source>
  <b:Source>
    <b:Tag>Дав12</b:Tag>
    <b:SourceType>Report</b:SourceType>
    <b:Guid>{269E5948-F676-4512-ACA7-AC95D8C065A1}</b:Guid>
    <b:Author>
      <b:Author>
        <b:Corporate>Даваа Ж,  ба бусад</b:Corporate>
      </b:Author>
    </b:Author>
    <b:Title>Их дээд сургууль, коллежийн багшийн хөгжлийн судалгаа</b:Title>
    <b:Year>2012</b:Year>
    <b:City>УБ</b:City>
    <b:RefOrder>12</b:RefOrder>
  </b:Source>
  <b:Source>
    <b:Tag>Бай091</b:Tag>
    <b:SourceType>Book</b:SourceType>
    <b:Guid>{DCEB5992-102D-4508-AE3B-CFF86478C551}</b:Guid>
    <b:Title>Багшийн хөгжлийн практик</b:Title>
    <b:Year>2009</b:Year>
    <b:City>УБ</b:City>
    <b:Author>
      <b:Author>
        <b:Corporate> Байгальмаа Ч</b:Corporate>
      </b:Author>
    </b:Author>
    <b:RefOrder>13</b:RefOrder>
  </b:Source>
  <b:Source>
    <b:Tag>ЯОт151</b:Tag>
    <b:SourceType>JournalArticle</b:SourceType>
    <b:Guid>{4DBE63E6-EF6D-461E-9C60-3A9142172028}</b:Guid>
    <b:Author>
      <b:Author>
        <b:Corporate>Я.Отгонбаяр</b:Corporate>
      </b:Author>
    </b:Author>
    <b:Title>Их, дээд сургуулийн багшийн хөгжлийн социологийн шинжилгээ</b:Title>
    <b:JournalName>докторын диссертаци</b:JournalName>
    <b:Year>2015</b:Year>
    <b:RefOrder>14</b:RefOrder>
  </b:Source>
  <b:Source>
    <b:Tag>Emi05</b:Tag>
    <b:SourceType>Book</b:SourceType>
    <b:Guid>{F787A084-8E53-442A-AAC1-B97CA2394EFD}</b:Guid>
    <b:Title>Incenrives to improve teaching:Lessons from Latin America</b:Title>
    <b:Year>2005</b:Year>
    <b:City>New York</b:City>
    <b:Author>
      <b:Author>
        <b:Corporate>Emiliana Vegas, Ilana Umansky</b:Corporate>
      </b:Author>
    </b:Author>
    <b:RefOrder>15</b:RefOrder>
  </b:Source>
  <b:Source>
    <b:Tag>Нар12</b:Tag>
    <b:SourceType>Book</b:SourceType>
    <b:Guid>{77862595-C173-487A-A7F3-48713A6B6539}</b:Guid>
    <b:Title>Боловсролын удирдлага</b:Title>
    <b:Year>2012</b:Year>
    <b:Author>
      <b:Author>
        <b:Corporate>Нарантуяа Н</b:Corporate>
      </b:Author>
    </b:Author>
    <b:City>УБ</b:City>
    <b:RefOrder>16</b:RefOrder>
  </b:Source>
  <b:Source>
    <b:Tag>fac13</b:Tag>
    <b:SourceType>InternetSite</b:SourceType>
    <b:Guid>{DEA78217-9FAF-48D4-9DB3-457287613916}</b:Guid>
    <b:Title>http://facultyaffairs.colorada.edufaculty-titles</b:Title>
    <b:Author>
      <b:Author>
        <b:Corporate>Coloradо</b:Corporate>
      </b:Author>
    </b:Author>
    <b:Year>2013</b:Year>
    <b:RefOrder>17</b:RefOrder>
  </b:Source>
  <b:Source>
    <b:Tag>Аки12</b:Tag>
    <b:SourceType>InternetSite</b:SourceType>
    <b:Guid>{F4FA5274-5A65-4731-8E29-A463AEF5965F}</b:Guid>
    <b:Title>Reaction to academic ranking in Japanies.</b:Title>
    <b:Year>2012</b:Year>
    <b:Author>
      <b:Author>
        <b:Corporate>Акиро Аримото</b:Corporate>
      </b:Author>
    </b:Author>
    <b:JournalName>Journal of education in Japanies</b:JournalName>
    <b:Pages>From. URL: http:/www. Researchgate.net/publication/ 226816799</b:Pages>
    <b:URL>From. URL: http:/www. Researchgate.net/publication/ 226816799</b:URL>
    <b:RefOrder>18</b:RefOrder>
  </b:Source>
  <b:Source>
    <b:Tag>Car06</b:Tag>
    <b:SourceType>InternetSite</b:SourceType>
    <b:Guid>{8E433257-3C75-4A91-BDF4-601F19FCCDAF}</b:Guid>
    <b:Author>
      <b:Author>
        <b:Corporate>Carnegie </b:Corporate>
      </b:Author>
    </b:Author>
    <b:Year>2006</b:Year>
    <b:Month>12</b:Month>
    <b:Day>04</b:Day>
    <b:URL>http:/www.carnegie foundation.org/classification of higher education.</b:URL>
    <b:RefOrder>19</b:RefOrder>
  </b:Source>
  <b:Source>
    <b:Tag>Jun11</b:Tag>
    <b:SourceType>JournalArticle</b:SourceType>
    <b:Guid>{1A24B932-2CFF-49BC-905C-53A2A86B1309}</b:Guid>
    <b:Title>  Design and development of a Teaching Assesstment system for improving Teaching skill  in u-Cumpus.    </b:Title>
    <b:Year>2011</b:Year>
    <b:Author>
      <b:Author>
        <b:Corporate>Jung-Hwan Park, Chang-Bae Moon</b:Corporate>
      </b:Author>
    </b:Author>
    <b:JournalName>Journal of the Korea Academia-industral cooperation society</b:JournalName>
    <b:Pages>Vol 12. No 5 pp.2124-2132</b:Pages>
    <b:RefOrder>20</b:RefOrder>
  </b:Source>
  <b:Source>
    <b:Tag>Хан91</b:Tag>
    <b:SourceType>JournalArticle</b:SourceType>
    <b:Guid>{FAD75C77-9975-433C-9547-E4A54C7DB51F}</b:Guid>
    <b:Author>
      <b:Author>
        <b:Corporate>Хандмаа Р.</b:Corporate>
      </b:Author>
    </b:Author>
    <b:Title>Хөгжилтэй орнуудын их дээд сургуулийн багшид тавигдах шаардлага</b:Title>
    <b:JournalName>Хүний нөөцийн менежмент</b:JournalName>
    <b:Year>2009</b:Year>
    <b:Pages> №1 х-26</b:Pages>
    <b:RefOrder>32</b:RefOrder>
  </b:Source>
  <b:Source>
    <b:Tag>МУИ121</b:Tag>
    <b:SourceType>Report</b:SourceType>
    <b:Guid>{C917DB3B-588B-4D16-B806-7ED14D16071E}</b:Guid>
    <b:Title>МУИС-ийн багшийн орон тоо, ажлын үнэлгээний журам</b:Title>
    <b:Year>2014</b:Year>
    <b:City>Захиралын 652 тоот тушаалын хавсралт 4</b:City>
    <b:Author>
      <b:Author>
        <b:Corporate>МУИС</b:Corporate>
      </b:Author>
    </b:Author>
    <b:RefOrder>33</b:RefOrder>
  </b:Source>
  <b:Source>
    <b:Tag>МУБ14</b:Tag>
    <b:SourceType>Report</b:SourceType>
    <b:Guid>{2B1D261B-C65B-40A4-AECB-F8F9AB68D647}</b:Guid>
    <b:Author>
      <b:Author>
        <b:Corporate>МУБИС</b:Corporate>
      </b:Author>
    </b:Author>
    <b:Title>МУБИС-ийн профессор багшийн ажлыг үнэлэх, дүгнэх  журам</b:Title>
    <b:Year>2014</b:Year>
    <b:City>шинэчилсэн найруулгын төсөл</b:City>
    <b:RefOrder>34</b:RefOrder>
  </b:Source>
  <b:Source>
    <b:Tag>ХАА13</b:Tag>
    <b:SourceType>Report</b:SourceType>
    <b:Guid>{9769B978-B741-472E-8FF6-5DCEF1135BC7}</b:Guid>
    <b:Author>
      <b:Author>
        <b:Corporate>ХААИС</b:Corporate>
      </b:Author>
    </b:Author>
    <b:Title>ХААИС-ийн профессор багшийн ажлыг төлөвлөх, гүйцэтгэлийг тооцох журам</b:Title>
    <b:Year>2013</b:Year>
    <b:City>УБ</b:City>
    <b:RefOrder>35</b:RefOrder>
  </b:Source>
  <b:Source>
    <b:Tag>ШУТ13</b:Tag>
    <b:SourceType>Report</b:SourceType>
    <b:Guid>{2CB8B2A9-5376-4CB0-A825-784180391552}</b:Guid>
    <b:Year>2013</b:Year>
    <b:Author>
      <b:Author>
        <b:Corporate>ШУТИС</b:Corporate>
      </b:Author>
    </b:Author>
    <b:RefOrder>36</b:RefOrder>
  </b:Source>
  <b:Source>
    <b:Tag>ХСИ13</b:Tag>
    <b:SourceType>Report</b:SourceType>
    <b:Guid>{E1DA7C49-2378-4DD8-94FA-6E47406F02BC}</b:Guid>
    <b:Author>
      <b:Author>
        <b:Corporate>ХСИС</b:Corporate>
      </b:Author>
    </b:Author>
    <b:Year>2013</b:Year>
    <b:RefOrder>37</b:RefOrder>
  </b:Source>
</b:Sources>
</file>

<file path=customXml/itemProps1.xml><?xml version="1.0" encoding="utf-8"?>
<ds:datastoreItem xmlns:ds="http://schemas.openxmlformats.org/officeDocument/2006/customXml" ds:itemID="{FBE8CD33-A8A7-FB42-84D3-A062E094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2772</Words>
  <Characters>15805</Characters>
  <Application>Microsoft Office Word</Application>
  <DocSecurity>0</DocSecurity>
  <Lines>131</Lines>
  <Paragraphs>37</Paragraphs>
  <ScaleCrop>false</ScaleCrop>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2025-07-06T09:15:00Z</dcterms:created>
  <dcterms:modified xsi:type="dcterms:W3CDTF">2025-07-06T09:16:00Z</dcterms:modified>
</cp:coreProperties>
</file>