
<file path=[Content_Types].xml><?xml version="1.0" encoding="utf-8"?>
<Types xmlns="http://schemas.openxmlformats.org/package/2006/content-types">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4FA5CFE" w14:textId="77777777" w:rsidR="00D34DCC" w:rsidRPr="00D34DCC" w:rsidRDefault="00D34DCC" w:rsidP="00D34DCC">
      <w:pPr>
        <w:pStyle w:val="Heading1"/>
        <w:jc w:val="center"/>
        <w:rPr>
          <w:rFonts w:ascii="Times New Roman" w:hAnsi="Times New Roman" w:cs="Times New Roman"/>
          <w:caps/>
          <w:sz w:val="24"/>
          <w:szCs w:val="24"/>
          <w:lang w:val="mn-MN"/>
        </w:rPr>
      </w:pPr>
      <w:bookmarkStart w:id="0" w:name="_Toc437428420"/>
      <w:r w:rsidRPr="00D34DCC">
        <w:rPr>
          <w:rFonts w:ascii="Times New Roman" w:hAnsi="Times New Roman" w:cs="Times New Roman"/>
          <w:caps/>
          <w:sz w:val="24"/>
          <w:szCs w:val="24"/>
          <w:lang w:val="mn-MN"/>
        </w:rPr>
        <w:t>Америк болон Монгол</w:t>
      </w:r>
      <w:r w:rsidRPr="00D34DCC">
        <w:rPr>
          <w:rFonts w:ascii="Times New Roman" w:hAnsi="Times New Roman" w:cs="Times New Roman"/>
          <w:caps/>
          <w:sz w:val="24"/>
          <w:szCs w:val="24"/>
        </w:rPr>
        <w:t xml:space="preserve"> д</w:t>
      </w:r>
      <w:r w:rsidRPr="00D34DCC">
        <w:rPr>
          <w:rFonts w:ascii="Times New Roman" w:hAnsi="Times New Roman" w:cs="Times New Roman"/>
          <w:caps/>
          <w:sz w:val="24"/>
          <w:szCs w:val="24"/>
          <w:lang w:val="mn-MN"/>
        </w:rPr>
        <w:t xml:space="preserve">ахь дээд боловсролтой </w:t>
      </w:r>
      <w:r w:rsidRPr="00D34DCC">
        <w:rPr>
          <w:rFonts w:ascii="Times New Roman" w:hAnsi="Times New Roman" w:cs="Times New Roman"/>
          <w:caps/>
          <w:sz w:val="24"/>
          <w:szCs w:val="24"/>
          <w:lang w:val="mn-MN"/>
        </w:rPr>
        <w:br/>
        <w:t>хүмүүсийн цалин юугаараа төстэй вэ?</w:t>
      </w:r>
      <w:r w:rsidRPr="00D34DCC">
        <w:rPr>
          <w:rStyle w:val="FootnoteReference"/>
          <w:rFonts w:ascii="Times New Roman" w:hAnsi="Times New Roman" w:cs="Times New Roman"/>
          <w:caps/>
          <w:sz w:val="24"/>
          <w:szCs w:val="24"/>
          <w:lang w:val="mn-MN"/>
        </w:rPr>
        <w:footnoteReference w:id="1"/>
      </w:r>
    </w:p>
    <w:p w14:paraId="33CE37C4" w14:textId="77777777" w:rsidR="00D34DCC" w:rsidRPr="00D34DCC" w:rsidRDefault="00D34DCC" w:rsidP="00D34DCC">
      <w:pPr>
        <w:jc w:val="both"/>
        <w:rPr>
          <w:rFonts w:ascii="Times New Roman" w:hAnsi="Times New Roman" w:cs="Times New Roman"/>
          <w:sz w:val="24"/>
          <w:szCs w:val="24"/>
        </w:rPr>
      </w:pPr>
      <w:r w:rsidRPr="00D34DCC">
        <w:rPr>
          <w:rFonts w:ascii="Times New Roman" w:hAnsi="Times New Roman" w:cs="Times New Roman"/>
          <w:sz w:val="24"/>
          <w:szCs w:val="24"/>
          <w:lang w:val="mn-MN"/>
        </w:rPr>
        <w:t>Д.Лхагвасүрэн, МУИС, Канадын Конкордиа их сургууль, CIREQ</w:t>
      </w:r>
    </w:p>
    <w:p w14:paraId="093E3C96"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 xml:space="preserve">З.Манлайбаатар, МУИС, ЭЗСЭШХ, </w:t>
      </w:r>
      <w:r w:rsidRPr="00D34DCC">
        <w:rPr>
          <w:rFonts w:ascii="Times New Roman" w:hAnsi="Times New Roman" w:cs="Times New Roman"/>
          <w:sz w:val="24"/>
          <w:szCs w:val="24"/>
        </w:rPr>
        <w:t xml:space="preserve">IRIM </w:t>
      </w:r>
      <w:r w:rsidRPr="00D34DCC">
        <w:rPr>
          <w:rFonts w:ascii="Times New Roman" w:hAnsi="Times New Roman" w:cs="Times New Roman"/>
          <w:sz w:val="24"/>
          <w:szCs w:val="24"/>
          <w:lang w:val="mn-MN"/>
        </w:rPr>
        <w:t>судалгааны хүрээлэн</w:t>
      </w:r>
    </w:p>
    <w:p w14:paraId="33A70CED" w14:textId="77777777" w:rsidR="00D34DCC" w:rsidRPr="00D34DCC" w:rsidRDefault="00D34DCC" w:rsidP="00D34DCC">
      <w:pPr>
        <w:shd w:val="clear" w:color="auto" w:fill="FFFFFF"/>
        <w:spacing w:before="240" w:after="0" w:line="240" w:lineRule="auto"/>
        <w:jc w:val="both"/>
        <w:rPr>
          <w:rFonts w:ascii="Times New Roman" w:hAnsi="Times New Roman" w:cs="Times New Roman"/>
          <w:sz w:val="24"/>
          <w:szCs w:val="24"/>
        </w:rPr>
      </w:pPr>
      <w:r w:rsidRPr="00D34DCC">
        <w:rPr>
          <w:rFonts w:ascii="Times New Roman" w:hAnsi="Times New Roman" w:cs="Times New Roman"/>
          <w:b/>
          <w:sz w:val="24"/>
          <w:szCs w:val="24"/>
        </w:rPr>
        <w:t xml:space="preserve">Abstract:  </w:t>
      </w:r>
      <w:r w:rsidRPr="00D34DCC">
        <w:rPr>
          <w:rFonts w:ascii="Times New Roman" w:hAnsi="Times New Roman" w:cs="Times New Roman"/>
          <w:color w:val="201F1F"/>
          <w:sz w:val="24"/>
          <w:szCs w:val="24"/>
          <w:lang w:val="en-CA"/>
        </w:rPr>
        <w:t xml:space="preserve">College enrollment in Mongolia has increased sharply over the last twenty years. As the number of college graduates is still on the rise, there is a growing concern whether higher education pays off in the country. In this paper, we measure the college wage premium using the Labor Force Survey of </w:t>
      </w:r>
      <w:proofErr w:type="gramStart"/>
      <w:r w:rsidRPr="00D34DCC">
        <w:rPr>
          <w:rFonts w:ascii="Times New Roman" w:hAnsi="Times New Roman" w:cs="Times New Roman"/>
          <w:color w:val="201F1F"/>
          <w:sz w:val="24"/>
          <w:szCs w:val="24"/>
          <w:lang w:val="en-CA"/>
        </w:rPr>
        <w:t>Mongolia, and</w:t>
      </w:r>
      <w:proofErr w:type="gramEnd"/>
      <w:r w:rsidRPr="00D34DCC">
        <w:rPr>
          <w:rFonts w:ascii="Times New Roman" w:hAnsi="Times New Roman" w:cs="Times New Roman"/>
          <w:color w:val="201F1F"/>
          <w:sz w:val="24"/>
          <w:szCs w:val="24"/>
          <w:lang w:val="en-CA"/>
        </w:rPr>
        <w:t xml:space="preserve"> compare the measured premium with those in other countries. We find that given the standard </w:t>
      </w:r>
      <w:proofErr w:type="spellStart"/>
      <w:r w:rsidRPr="00D34DCC">
        <w:rPr>
          <w:rFonts w:ascii="Times New Roman" w:hAnsi="Times New Roman" w:cs="Times New Roman"/>
          <w:color w:val="201F1F"/>
          <w:sz w:val="24"/>
          <w:szCs w:val="24"/>
          <w:lang w:val="en-CA"/>
        </w:rPr>
        <w:t>Mincerian</w:t>
      </w:r>
      <w:proofErr w:type="spellEnd"/>
      <w:r w:rsidRPr="00D34DCC">
        <w:rPr>
          <w:rFonts w:ascii="Times New Roman" w:hAnsi="Times New Roman" w:cs="Times New Roman"/>
          <w:color w:val="201F1F"/>
          <w:sz w:val="24"/>
          <w:szCs w:val="24"/>
          <w:lang w:val="en-CA"/>
        </w:rPr>
        <w:t xml:space="preserve"> regression, the college premium in Mongolia is comparable with that in the U.S., but higher than those in many European countries. We argue that the average wage of the college graduates in Mongolia is negatively related to college enrollment. The large regional gap in the college premium is consistent with large mobility differences among different educational groups of Mongolia.  </w:t>
      </w:r>
    </w:p>
    <w:p w14:paraId="2AA7B00C" w14:textId="77777777" w:rsidR="00D34DCC" w:rsidRPr="00D34DCC" w:rsidRDefault="00D34DCC" w:rsidP="00D34DCC">
      <w:pPr>
        <w:pStyle w:val="Heading1"/>
        <w:jc w:val="both"/>
        <w:rPr>
          <w:rFonts w:ascii="Times New Roman" w:hAnsi="Times New Roman" w:cs="Times New Roman"/>
          <w:sz w:val="24"/>
          <w:szCs w:val="24"/>
          <w:lang w:val="mn-MN"/>
        </w:rPr>
      </w:pPr>
      <w:r w:rsidRPr="00D34DCC">
        <w:rPr>
          <w:rFonts w:ascii="Times New Roman" w:hAnsi="Times New Roman" w:cs="Times New Roman"/>
          <w:sz w:val="24"/>
          <w:szCs w:val="24"/>
        </w:rPr>
        <w:t xml:space="preserve">1. </w:t>
      </w:r>
      <w:bookmarkEnd w:id="0"/>
      <w:r w:rsidRPr="00D34DCC">
        <w:rPr>
          <w:rFonts w:ascii="Times New Roman" w:hAnsi="Times New Roman" w:cs="Times New Roman"/>
          <w:sz w:val="24"/>
          <w:szCs w:val="24"/>
          <w:lang w:val="mn-MN"/>
        </w:rPr>
        <w:t>Оршил</w:t>
      </w:r>
    </w:p>
    <w:p w14:paraId="7E198EED"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Сүүлийн 20 гаруй жилийн турш Монголд их, дээд сургуульд суралцаж буй оюутнуудын тоо тасралтгүй өслөө. Дээд боловсролтой залуусын тоо өсөхийн хэрээр, дээд боловсрол нь өнөөгийн нөхцөлд оновчтой сонголт мөн эсэхэд эргэлзсэн яриа цөөнгүй гарах болов. Үзэл бодлын эдгээр илэрхийлэл тоо баримт бага түшсэн, тухайн нэгэн тохиолдлыг дөвийлгөсөн байх нь элбэг. Жишээлбэл, 600 мянган төгрөгийн цалинтай багшийг 2 сая төгрөгийн цалинтай тогоочтой харьцуулан дээд боловсрол хэрэгтэй</w:t>
      </w:r>
      <w:r w:rsidRPr="00D34DCC">
        <w:rPr>
          <w:rFonts w:ascii="Times New Roman" w:hAnsi="Times New Roman" w:cs="Times New Roman"/>
          <w:sz w:val="24"/>
          <w:szCs w:val="24"/>
        </w:rPr>
        <w:t xml:space="preserve"> </w:t>
      </w:r>
      <w:r w:rsidRPr="00D34DCC">
        <w:rPr>
          <w:rFonts w:ascii="Times New Roman" w:hAnsi="Times New Roman" w:cs="Times New Roman"/>
          <w:sz w:val="24"/>
          <w:szCs w:val="24"/>
          <w:lang w:val="mn-MN"/>
        </w:rPr>
        <w:t>эсэхийг дүгнэх нь өрөөсгөл юм. Дор хаяж</w:t>
      </w:r>
      <w:r w:rsidRPr="00D34DCC">
        <w:rPr>
          <w:rFonts w:ascii="Times New Roman" w:hAnsi="Times New Roman" w:cs="Times New Roman"/>
          <w:sz w:val="24"/>
          <w:szCs w:val="24"/>
        </w:rPr>
        <w:t xml:space="preserve"> </w:t>
      </w:r>
      <w:r w:rsidRPr="00D34DCC">
        <w:rPr>
          <w:rFonts w:ascii="Times New Roman" w:hAnsi="Times New Roman" w:cs="Times New Roman"/>
          <w:sz w:val="24"/>
          <w:szCs w:val="24"/>
          <w:lang w:val="mn-MN"/>
        </w:rPr>
        <w:t>бид,</w:t>
      </w:r>
      <w:r w:rsidRPr="00D34DCC">
        <w:rPr>
          <w:rFonts w:ascii="Times New Roman" w:hAnsi="Times New Roman" w:cs="Times New Roman"/>
          <w:sz w:val="24"/>
          <w:szCs w:val="24"/>
        </w:rPr>
        <w:t xml:space="preserve"> </w:t>
      </w:r>
      <w:r w:rsidRPr="00D34DCC">
        <w:rPr>
          <w:rFonts w:ascii="Times New Roman" w:hAnsi="Times New Roman" w:cs="Times New Roman"/>
          <w:sz w:val="24"/>
          <w:szCs w:val="24"/>
          <w:lang w:val="mn-MN"/>
        </w:rPr>
        <w:t>бага ангийн багшийн ажлын байрны тоо, өндөр зэрэглэлийн тогоочийн ажлын байрны тоо газар тэнгэр шиг зөрүүтэй гэдгийг бодолцох хэрэгтэй.</w:t>
      </w:r>
    </w:p>
    <w:p w14:paraId="358D20BF"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Дээд сургууль төгсөөгүй атлаа дээд сургууль төгссөн хүмүүсээс илүү цалинтай залуус байдаг ч, боловсролтой хүмүүс дунджаар илүү өндөр цалинтай байдаг нь дэлхийн улс орнуудын өнөөгийн тоо баримтаас ажиглагддаг түгээмэл зүй тогтол юм. Боловсрол, цалин хоёрын энэхүү хүчтэй эерэг хамаарлыг өнгөрсөн үеийн тоо баримтаас ч ажиглаж болно. Дундаж хүмүүсийн хувьд цалин нь боловсролоос хамааран өсдөг зүй тогтолд үндэслэн боловсролыг хөрөнгө оруулалт гэж ойлгож болно. Тэгвэл ”Энэ хөрөнгө оруулалт хэр өгөөжтэй  вэ?” гэсэн асуулт зүй ёсоор гарна.</w:t>
      </w:r>
    </w:p>
    <w:p w14:paraId="022E029A"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 xml:space="preserve">Дэлхий нийтийн хэмжээнд, дээд боловсрол хувь хүний орлогод ямар нөлөө үзүүлж байгааг судалсан олон ажил байдаг. Харин манай улсын хувьд энэ чиглэлийн ойлголт бүрэлдэж буй </w:t>
      </w:r>
      <w:r w:rsidRPr="00D34DCC">
        <w:rPr>
          <w:rFonts w:ascii="Times New Roman" w:hAnsi="Times New Roman" w:cs="Times New Roman"/>
          <w:sz w:val="24"/>
          <w:szCs w:val="24"/>
          <w:lang w:val="mn-MN"/>
        </w:rPr>
        <w:lastRenderedPageBreak/>
        <w:t xml:space="preserve">боловч, тоон судалгаа харьцангуй бага хийгджээ. Бид энэхүү судалгаагаар Монголд дээд боловсролтой хүмүүс нас чацуу, дунд боловсролтой хүмүүсээс хэдэн хувь өндөр цалин авч байгааг хэмжлээ. Энэхүү хэмжүүрээр Монголын хөдөлмөрийн зах зээл дээрx дээд боловсролын өгөөж АНУ-ын хөдөлмөрийн зах зээл дээрх дээд боловсролын өгөөжтэй ойролцоо бөгөөд Европын олон орныхоос өндөр байна. </w:t>
      </w:r>
    </w:p>
    <w:p w14:paraId="3A267ECD" w14:textId="77777777" w:rsidR="00D34DCC" w:rsidRPr="00D34DCC" w:rsidRDefault="00D34DCC" w:rsidP="00D34DCC">
      <w:pPr>
        <w:jc w:val="both"/>
        <w:rPr>
          <w:rFonts w:ascii="Times New Roman" w:hAnsi="Times New Roman" w:cs="Times New Roman"/>
          <w:sz w:val="24"/>
          <w:szCs w:val="24"/>
        </w:rPr>
      </w:pPr>
      <w:r w:rsidRPr="00D34DCC">
        <w:rPr>
          <w:rFonts w:ascii="Times New Roman" w:hAnsi="Times New Roman" w:cs="Times New Roman"/>
          <w:sz w:val="24"/>
          <w:szCs w:val="24"/>
          <w:lang w:val="mn-MN"/>
        </w:rPr>
        <w:t xml:space="preserve">Мөн, бид энэхүү судалгаагаараа их дээд сургуульд суралцагсдын тоо дээд боловсролтой хүмүүсийн </w:t>
      </w:r>
      <w:r w:rsidRPr="00D34DCC">
        <w:rPr>
          <w:rFonts w:ascii="Times New Roman" w:hAnsi="Times New Roman" w:cs="Times New Roman"/>
          <w:i/>
          <w:sz w:val="24"/>
          <w:szCs w:val="24"/>
          <w:lang w:val="mn-MN"/>
        </w:rPr>
        <w:t>дундаж</w:t>
      </w:r>
      <w:r w:rsidRPr="00D34DCC">
        <w:rPr>
          <w:rFonts w:ascii="Times New Roman" w:hAnsi="Times New Roman" w:cs="Times New Roman"/>
          <w:sz w:val="24"/>
          <w:szCs w:val="24"/>
          <w:lang w:val="mn-MN"/>
        </w:rPr>
        <w:t xml:space="preserve"> цалинд сөргөөр нөлөөлж болох тухай хэлэлцлээ. Боловсролын өгөөж нь хот, хөдөөгийн хооронд их ялгаатай байгаа бөгөөд боловсрол өндөртэй хүмүүс хот руу илүү ихээр нүүж байна. </w:t>
      </w:r>
    </w:p>
    <w:p w14:paraId="71DB426F"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 xml:space="preserve">Бид энэхүү шинжилгээнд Үндэсний статистикийн хорооны “Ажиллах хүчний судалгаа” </w:t>
      </w:r>
      <w:r w:rsidRPr="00D34DCC">
        <w:rPr>
          <w:rFonts w:ascii="Times New Roman" w:hAnsi="Times New Roman" w:cs="Times New Roman"/>
          <w:sz w:val="24"/>
          <w:szCs w:val="24"/>
        </w:rPr>
        <w:t>(</w:t>
      </w:r>
      <w:r w:rsidRPr="00D34DCC">
        <w:rPr>
          <w:rFonts w:ascii="Times New Roman" w:hAnsi="Times New Roman" w:cs="Times New Roman"/>
          <w:sz w:val="24"/>
          <w:szCs w:val="24"/>
          <w:lang w:val="mn-MN"/>
        </w:rPr>
        <w:t>АХС</w:t>
      </w:r>
      <w:r w:rsidRPr="00D34DCC">
        <w:rPr>
          <w:rFonts w:ascii="Times New Roman" w:hAnsi="Times New Roman" w:cs="Times New Roman"/>
          <w:sz w:val="24"/>
          <w:szCs w:val="24"/>
        </w:rPr>
        <w:t>)</w:t>
      </w:r>
      <w:r w:rsidRPr="00D34DCC">
        <w:rPr>
          <w:rFonts w:ascii="Times New Roman" w:hAnsi="Times New Roman" w:cs="Times New Roman"/>
          <w:sz w:val="24"/>
          <w:szCs w:val="24"/>
          <w:lang w:val="mn-MN"/>
        </w:rPr>
        <w:t xml:space="preserve"> -ны 2013 оны тоон мэдээллийг  ашигласан. Уг тоон мэдээлэл нь олон улсын нийтлэг шаардлагыг хангасан, жил бүр нийслэл болон 21 аймгийн 12 мянга гаруй өрхийг хамруулдаг томоохон түүвэр судалгааны дүн юм. Бид энд 16-54 насны 26 мянга орчим хүний тоон мэдээлэлд дүн шинжилгээ хийлээ.</w:t>
      </w:r>
    </w:p>
    <w:p w14:paraId="03908381" w14:textId="77777777" w:rsidR="00D34DCC" w:rsidRPr="00D34DCC" w:rsidRDefault="00D34DCC" w:rsidP="00D34DCC">
      <w:pPr>
        <w:pStyle w:val="Heading1"/>
        <w:numPr>
          <w:ilvl w:val="0"/>
          <w:numId w:val="1"/>
        </w:numPr>
        <w:spacing w:after="360"/>
        <w:jc w:val="both"/>
        <w:rPr>
          <w:rFonts w:ascii="Times New Roman" w:hAnsi="Times New Roman" w:cs="Times New Roman"/>
          <w:sz w:val="24"/>
          <w:szCs w:val="24"/>
        </w:rPr>
      </w:pPr>
      <w:bookmarkStart w:id="1" w:name="_Toc437428424"/>
      <w:proofErr w:type="spellStart"/>
      <w:r w:rsidRPr="00D34DCC">
        <w:rPr>
          <w:rFonts w:ascii="Times New Roman" w:hAnsi="Times New Roman" w:cs="Times New Roman"/>
          <w:sz w:val="24"/>
          <w:szCs w:val="24"/>
        </w:rPr>
        <w:t>Дээд</w:t>
      </w:r>
      <w:proofErr w:type="spellEnd"/>
      <w:r w:rsidRPr="00D34DCC">
        <w:rPr>
          <w:rFonts w:ascii="Times New Roman" w:hAnsi="Times New Roman" w:cs="Times New Roman"/>
          <w:sz w:val="24"/>
          <w:szCs w:val="24"/>
          <w:lang w:val="mn-MN"/>
        </w:rPr>
        <w:t xml:space="preserve"> </w:t>
      </w:r>
      <w:proofErr w:type="spellStart"/>
      <w:r w:rsidRPr="00D34DCC">
        <w:rPr>
          <w:rFonts w:ascii="Times New Roman" w:hAnsi="Times New Roman" w:cs="Times New Roman"/>
          <w:sz w:val="24"/>
          <w:szCs w:val="24"/>
        </w:rPr>
        <w:t>боловсролын</w:t>
      </w:r>
      <w:proofErr w:type="spellEnd"/>
      <w:r w:rsidRPr="00D34DCC">
        <w:rPr>
          <w:rFonts w:ascii="Times New Roman" w:hAnsi="Times New Roman" w:cs="Times New Roman"/>
          <w:sz w:val="24"/>
          <w:szCs w:val="24"/>
          <w:lang w:val="mn-MN"/>
        </w:rPr>
        <w:t xml:space="preserve"> </w:t>
      </w:r>
      <w:proofErr w:type="spellStart"/>
      <w:r w:rsidRPr="00D34DCC">
        <w:rPr>
          <w:rFonts w:ascii="Times New Roman" w:hAnsi="Times New Roman" w:cs="Times New Roman"/>
          <w:sz w:val="24"/>
          <w:szCs w:val="24"/>
        </w:rPr>
        <w:t>өгөөж</w:t>
      </w:r>
      <w:bookmarkEnd w:id="1"/>
      <w:proofErr w:type="spellEnd"/>
    </w:p>
    <w:p w14:paraId="5A11A3FC" w14:textId="77777777" w:rsidR="00D34DCC" w:rsidRPr="00D34DCC" w:rsidRDefault="00D34DCC" w:rsidP="00D34DCC">
      <w:pPr>
        <w:jc w:val="both"/>
        <w:rPr>
          <w:rFonts w:ascii="Times New Roman" w:hAnsi="Times New Roman" w:cs="Times New Roman"/>
          <w:b/>
          <w:sz w:val="24"/>
          <w:szCs w:val="24"/>
          <w:lang w:val="mn-MN"/>
        </w:rPr>
      </w:pPr>
      <w:r w:rsidRPr="00D34DCC">
        <w:rPr>
          <w:rFonts w:ascii="Times New Roman" w:hAnsi="Times New Roman" w:cs="Times New Roman"/>
          <w:b/>
          <w:sz w:val="24"/>
          <w:szCs w:val="24"/>
          <w:lang w:val="mn-MN"/>
        </w:rPr>
        <w:t xml:space="preserve">Үндсэн асуултууд </w:t>
      </w:r>
    </w:p>
    <w:p w14:paraId="71CCD642"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Цалин бол хөдөлмөрийн зах зээл дээрх үнэ юм. Тухайн ажилчин мэдлэг, ур чадвар, туршлага өндөртэй буюу хүмүүн капитал илүү хуримтлуулсан бол цалин нь өндөр тогтоогдоно. Монгол хүмүүсийн боловсролын түвшин дээшлэх тусам дундаж цалин тогтвортой өсч байгааг АХС -наас хялбархан харж болно. Харин, энэ өсөлт хэр өндөр вэ? Бусад оронтой харьцуулахад, манай хөдөлмөрийн зах зээл дээрx боловсролын өгөөж хэр вэ?</w:t>
      </w:r>
    </w:p>
    <w:p w14:paraId="5A448867" w14:textId="77777777" w:rsidR="00D34DCC" w:rsidRPr="00D34DCC" w:rsidRDefault="00D34DCC" w:rsidP="00D34DCC">
      <w:pPr>
        <w:jc w:val="both"/>
        <w:rPr>
          <w:rFonts w:ascii="Times New Roman" w:hAnsi="Times New Roman" w:cs="Times New Roman"/>
          <w:b/>
          <w:sz w:val="24"/>
          <w:szCs w:val="24"/>
          <w:lang w:val="mn-MN"/>
        </w:rPr>
      </w:pPr>
      <w:r w:rsidRPr="00D34DCC">
        <w:rPr>
          <w:rFonts w:ascii="Times New Roman" w:hAnsi="Times New Roman" w:cs="Times New Roman"/>
          <w:b/>
          <w:sz w:val="24"/>
          <w:szCs w:val="24"/>
          <w:lang w:val="mn-MN"/>
        </w:rPr>
        <w:t>Минсерийн тэгшитгэл</w:t>
      </w:r>
    </w:p>
    <w:p w14:paraId="1231BCF3"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 xml:space="preserve">Бид боловсролын өгөөжийг хэмжихдээ 60 шахам жилийн түүхтэй Минсерийн тэгшитгэлийг ашиглалаа </w:t>
      </w:r>
      <w:sdt>
        <w:sdtPr>
          <w:rPr>
            <w:rFonts w:ascii="Times New Roman" w:hAnsi="Times New Roman" w:cs="Times New Roman"/>
            <w:sz w:val="24"/>
            <w:szCs w:val="24"/>
            <w:lang w:val="mn-MN"/>
          </w:rPr>
          <w:id w:val="-1851783742"/>
          <w:citation/>
        </w:sdtPr>
        <w:sdtContent>
          <w:r w:rsidRPr="00D34DCC">
            <w:rPr>
              <w:rFonts w:ascii="Times New Roman" w:hAnsi="Times New Roman" w:cs="Times New Roman"/>
              <w:sz w:val="24"/>
              <w:szCs w:val="24"/>
              <w:lang w:val="mn-MN"/>
            </w:rPr>
            <w:fldChar w:fldCharType="begin"/>
          </w:r>
          <w:r w:rsidRPr="00D34DCC">
            <w:rPr>
              <w:rFonts w:ascii="Times New Roman" w:hAnsi="Times New Roman" w:cs="Times New Roman"/>
              <w:sz w:val="24"/>
              <w:szCs w:val="24"/>
            </w:rPr>
            <w:instrText xml:space="preserve"> CITATION Min58 \l 1033 </w:instrText>
          </w:r>
          <w:r w:rsidRPr="00D34DCC">
            <w:rPr>
              <w:rFonts w:ascii="Times New Roman" w:hAnsi="Times New Roman" w:cs="Times New Roman"/>
              <w:sz w:val="24"/>
              <w:szCs w:val="24"/>
              <w:lang w:val="mn-MN"/>
            </w:rPr>
            <w:fldChar w:fldCharType="separate"/>
          </w:r>
          <w:r w:rsidRPr="00D34DCC">
            <w:rPr>
              <w:rFonts w:ascii="Times New Roman" w:hAnsi="Times New Roman" w:cs="Times New Roman"/>
              <w:noProof/>
              <w:sz w:val="24"/>
              <w:szCs w:val="24"/>
            </w:rPr>
            <w:t>(Mincer, 1958)</w:t>
          </w:r>
          <w:r w:rsidRPr="00D34DCC">
            <w:rPr>
              <w:rFonts w:ascii="Times New Roman" w:hAnsi="Times New Roman" w:cs="Times New Roman"/>
              <w:sz w:val="24"/>
              <w:szCs w:val="24"/>
              <w:lang w:val="mn-MN"/>
            </w:rPr>
            <w:fldChar w:fldCharType="end"/>
          </w:r>
        </w:sdtContent>
      </w:sdt>
      <w:r w:rsidRPr="00D34DCC">
        <w:rPr>
          <w:rFonts w:ascii="Times New Roman" w:hAnsi="Times New Roman" w:cs="Times New Roman"/>
          <w:sz w:val="24"/>
          <w:szCs w:val="24"/>
          <w:lang w:val="mn-MN"/>
        </w:rPr>
        <w:t xml:space="preserve">. Энэ тэгшитгэл бол хүмүүсийн нас буюу ажлын туршлага, боловсрол нь тэдний цалинд хэрхэн нөлөөлдгийг тогтоосон хамаарал юм. Минсерийн тэгшитгэл хэдийгээр хялбар боловч, олон улс орны, олон жилийн тоо баримтыг системтэй, ойлгомжтой тайлбарладаг тул маш өргөнөөр хэрэглэгддэг </w:t>
      </w:r>
      <w:sdt>
        <w:sdtPr>
          <w:rPr>
            <w:rFonts w:ascii="Times New Roman" w:hAnsi="Times New Roman" w:cs="Times New Roman"/>
            <w:sz w:val="24"/>
            <w:szCs w:val="24"/>
            <w:lang w:val="mn-MN"/>
          </w:rPr>
          <w:id w:val="889233794"/>
          <w:citation/>
        </w:sdtPr>
        <w:sdtContent>
          <w:r w:rsidRPr="00D34DCC">
            <w:rPr>
              <w:rFonts w:ascii="Times New Roman" w:hAnsi="Times New Roman" w:cs="Times New Roman"/>
              <w:sz w:val="24"/>
              <w:szCs w:val="24"/>
            </w:rPr>
            <w:fldChar w:fldCharType="begin"/>
          </w:r>
          <w:r w:rsidRPr="00D34DCC">
            <w:rPr>
              <w:rFonts w:ascii="Times New Roman" w:hAnsi="Times New Roman" w:cs="Times New Roman"/>
              <w:sz w:val="24"/>
              <w:szCs w:val="24"/>
            </w:rPr>
            <w:instrText xml:space="preserve"> CITATION Cla14 \m Cri12 \l 1033  </w:instrText>
          </w:r>
          <w:r w:rsidRPr="00D34DCC">
            <w:rPr>
              <w:rFonts w:ascii="Times New Roman" w:hAnsi="Times New Roman" w:cs="Times New Roman"/>
              <w:sz w:val="24"/>
              <w:szCs w:val="24"/>
            </w:rPr>
            <w:fldChar w:fldCharType="separate"/>
          </w:r>
          <w:r w:rsidRPr="00D34DCC">
            <w:rPr>
              <w:rFonts w:ascii="Times New Roman" w:hAnsi="Times New Roman" w:cs="Times New Roman"/>
              <w:noProof/>
              <w:sz w:val="24"/>
              <w:szCs w:val="24"/>
            </w:rPr>
            <w:t>(Claudio &amp; Patrinos, 2014; Crivellaro, 2012)</w:t>
          </w:r>
          <w:r w:rsidRPr="00D34DCC">
            <w:rPr>
              <w:rFonts w:ascii="Times New Roman" w:hAnsi="Times New Roman" w:cs="Times New Roman"/>
              <w:noProof/>
              <w:sz w:val="24"/>
              <w:szCs w:val="24"/>
            </w:rPr>
            <w:fldChar w:fldCharType="end"/>
          </w:r>
        </w:sdtContent>
      </w:sdt>
      <w:r w:rsidRPr="00D34DCC">
        <w:rPr>
          <w:rFonts w:ascii="Times New Roman" w:hAnsi="Times New Roman" w:cs="Times New Roman"/>
          <w:sz w:val="24"/>
          <w:szCs w:val="24"/>
          <w:lang w:val="mn-MN"/>
        </w:rPr>
        <w:t xml:space="preserve">. Уг загвар ёсоор, хөдөлмөрийн бүтээмжийн түвшин болон ахиуц бүтээмж нь ажилтны наснаас хамаарч өөрчлөгдөнө. </w:t>
      </w:r>
    </w:p>
    <w:p w14:paraId="192A6E7A"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 xml:space="preserve">Бид судалгаандаа Монголын АХС -нд ашиглаж буй дараах 6 боловсролын түвшинг авч үзсэн. Үүнд: </w:t>
      </w:r>
      <w:r w:rsidRPr="00D34DCC">
        <w:rPr>
          <w:rFonts w:ascii="Times New Roman" w:eastAsia="Times New Roman" w:hAnsi="Times New Roman" w:cs="Times New Roman"/>
          <w:color w:val="000000"/>
          <w:sz w:val="24"/>
          <w:szCs w:val="24"/>
          <w:lang w:val="mn-MN"/>
        </w:rPr>
        <w:t xml:space="preserve">бүрэн дундаас доош, бүрэн дунд, техник мэргэжлийн дунд, тусгай мэргэжлийн дунд, дипломын дээд болон бакалавр, дипломын дараах, гэх мэт. </w:t>
      </w:r>
      <w:r w:rsidRPr="00D34DCC">
        <w:rPr>
          <w:rFonts w:ascii="Times New Roman" w:hAnsi="Times New Roman" w:cs="Times New Roman"/>
          <w:sz w:val="24"/>
          <w:szCs w:val="24"/>
          <w:lang w:val="mn-MN"/>
        </w:rPr>
        <w:t>Эхлээд боловсролын өгөөжийг дараах энгийн загвар ашиглан шугаман регрессийн аргаар үнэллээ:</w:t>
      </w:r>
    </w:p>
    <w:p w14:paraId="0BDCFAA4" w14:textId="77777777" w:rsidR="00D34DCC" w:rsidRPr="00D34DCC" w:rsidRDefault="00D34DCC" w:rsidP="00D34DCC">
      <w:pPr>
        <w:jc w:val="both"/>
        <w:rPr>
          <w:rFonts w:ascii="Times New Roman" w:hAnsi="Times New Roman" w:cs="Times New Roman"/>
          <w:i/>
          <w:sz w:val="24"/>
          <w:szCs w:val="24"/>
          <w:lang w:val="mn-MN"/>
        </w:rPr>
      </w:pPr>
      <m:oMathPara>
        <m:oMath>
          <m:r>
            <m:rPr>
              <m:sty m:val="p"/>
            </m:rPr>
            <w:rPr>
              <w:rFonts w:ascii="Cambria Math" w:hAnsi="Cambria Math" w:cs="Times New Roman"/>
              <w:sz w:val="24"/>
              <w:szCs w:val="24"/>
            </w:rPr>
            <w:lastRenderedPageBreak/>
            <m:t>log⁡(</m:t>
          </m:r>
          <m:r>
            <w:rPr>
              <w:rFonts w:ascii="Cambria Math" w:hAnsi="Cambria Math" w:cs="Times New Roman"/>
              <w:sz w:val="24"/>
              <w:szCs w:val="24"/>
            </w:rPr>
            <m:t>wage)=</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0</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1</m:t>
              </m:r>
            </m:sub>
          </m:sSub>
          <m:r>
            <w:rPr>
              <w:rFonts w:ascii="Cambria Math" w:hAnsi="Cambria Math" w:cs="Times New Roman"/>
              <w:sz w:val="24"/>
              <w:szCs w:val="24"/>
            </w:rPr>
            <m:t>∙age+</m:t>
          </m:r>
          <m:sSub>
            <m:sSubPr>
              <m:ctrlPr>
                <w:rPr>
                  <w:rFonts w:ascii="Cambria Math" w:hAnsi="Cambria Math" w:cs="Times New Roman"/>
                  <w:i/>
                  <w:sz w:val="24"/>
                  <w:szCs w:val="24"/>
                </w:rPr>
              </m:ctrlPr>
            </m:sSubPr>
            <m:e>
              <m:r>
                <w:rPr>
                  <w:rFonts w:ascii="Cambria Math" w:hAnsi="Cambria Math" w:cs="Times New Roman"/>
                  <w:sz w:val="24"/>
                  <w:szCs w:val="24"/>
                </w:rPr>
                <m:t>γ</m:t>
              </m:r>
            </m:e>
            <m:sub>
              <m:r>
                <w:rPr>
                  <w:rFonts w:ascii="Cambria Math" w:hAnsi="Cambria Math" w:cs="Times New Roman"/>
                  <w:sz w:val="24"/>
                  <w:szCs w:val="24"/>
                </w:rPr>
                <m:t>2</m:t>
              </m:r>
            </m:sub>
          </m:sSub>
          <m:r>
            <w:rPr>
              <w:rFonts w:ascii="Cambria Math" w:hAnsi="Cambria Math" w:cs="Times New Roman"/>
              <w:sz w:val="24"/>
              <w:szCs w:val="24"/>
            </w:rPr>
            <m:t>∙</m:t>
          </m:r>
          <m:sSup>
            <m:sSupPr>
              <m:ctrlPr>
                <w:rPr>
                  <w:rFonts w:ascii="Cambria Math" w:hAnsi="Cambria Math" w:cs="Times New Roman"/>
                  <w:i/>
                  <w:sz w:val="24"/>
                  <w:szCs w:val="24"/>
                </w:rPr>
              </m:ctrlPr>
            </m:sSupPr>
            <m:e>
              <m:r>
                <w:rPr>
                  <w:rFonts w:ascii="Cambria Math" w:hAnsi="Cambria Math" w:cs="Times New Roman"/>
                  <w:sz w:val="24"/>
                  <w:szCs w:val="24"/>
                </w:rPr>
                <m:t>age</m:t>
              </m:r>
            </m:e>
            <m:sup>
              <m:r>
                <w:rPr>
                  <w:rFonts w:ascii="Cambria Math" w:hAnsi="Cambria Math" w:cs="Times New Roman"/>
                  <w:sz w:val="24"/>
                  <w:szCs w:val="24"/>
                </w:rPr>
                <m:t>2</m:t>
              </m:r>
            </m:sup>
          </m:sSup>
          <m:r>
            <w:rPr>
              <w:rFonts w:ascii="Cambria Math" w:hAnsi="Cambria Math" w:cs="Times New Roman"/>
              <w:sz w:val="24"/>
              <w:szCs w:val="24"/>
            </w:rPr>
            <m:t>+</m:t>
          </m:r>
          <m:nary>
            <m:naryPr>
              <m:chr m:val="∑"/>
              <m:limLoc m:val="undOvr"/>
              <m:subHide m:val="1"/>
              <m:supHide m:val="1"/>
              <m:ctrlPr>
                <w:rPr>
                  <w:rFonts w:ascii="Cambria Math" w:hAnsi="Cambria Math" w:cs="Times New Roman"/>
                  <w:i/>
                  <w:sz w:val="24"/>
                  <w:szCs w:val="24"/>
                </w:rPr>
              </m:ctrlPr>
            </m:naryPr>
            <m:sub/>
            <m:sup/>
            <m:e>
              <m:sSub>
                <m:sSubPr>
                  <m:ctrlPr>
                    <w:rPr>
                      <w:rFonts w:ascii="Cambria Math" w:hAnsi="Cambria Math" w:cs="Times New Roman"/>
                      <w:i/>
                      <w:sz w:val="24"/>
                      <w:szCs w:val="24"/>
                    </w:rPr>
                  </m:ctrlPr>
                </m:sSubPr>
                <m:e>
                  <m:r>
                    <w:rPr>
                      <w:rFonts w:ascii="Cambria Math" w:hAnsi="Cambria Math" w:cs="Times New Roman"/>
                      <w:sz w:val="24"/>
                      <w:szCs w:val="24"/>
                    </w:rPr>
                    <m:t>β</m:t>
                  </m:r>
                </m:e>
                <m:sub>
                  <m:r>
                    <w:rPr>
                      <w:rFonts w:ascii="Cambria Math" w:hAnsi="Cambria Math" w:cs="Times New Roman"/>
                      <w:sz w:val="24"/>
                      <w:szCs w:val="24"/>
                    </w:rPr>
                    <m:t>j</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edu</m:t>
                  </m:r>
                </m:e>
                <m:sub>
                  <m:r>
                    <w:rPr>
                      <w:rFonts w:ascii="Cambria Math" w:hAnsi="Cambria Math" w:cs="Times New Roman"/>
                      <w:sz w:val="24"/>
                      <w:szCs w:val="24"/>
                    </w:rPr>
                    <m:t>j</m:t>
                  </m:r>
                </m:sub>
              </m:sSub>
            </m:e>
          </m:nary>
          <m:r>
            <w:rPr>
              <w:rFonts w:ascii="Cambria Math" w:hAnsi="Cambria Math" w:cs="Times New Roman"/>
              <w:sz w:val="24"/>
              <w:szCs w:val="24"/>
            </w:rPr>
            <m:t>.</m:t>
          </m:r>
        </m:oMath>
      </m:oMathPara>
    </w:p>
    <w:p w14:paraId="37882186"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 xml:space="preserve">Энд </w:t>
      </w:r>
      <w:r w:rsidRPr="00D34DCC">
        <w:rPr>
          <w:rFonts w:ascii="Times New Roman" w:hAnsi="Times New Roman" w:cs="Times New Roman"/>
          <w:sz w:val="24"/>
          <w:szCs w:val="24"/>
        </w:rPr>
        <w:t xml:space="preserve"> </w:t>
      </w:r>
      <w:r w:rsidRPr="00D34DCC">
        <w:rPr>
          <w:rFonts w:ascii="Times New Roman" w:hAnsi="Times New Roman" w:cs="Times New Roman"/>
          <w:i/>
          <w:sz w:val="24"/>
          <w:szCs w:val="24"/>
        </w:rPr>
        <w:t>wage</w:t>
      </w:r>
      <w:r w:rsidRPr="00D34DCC">
        <w:rPr>
          <w:rFonts w:ascii="Times New Roman" w:hAnsi="Times New Roman" w:cs="Times New Roman"/>
          <w:sz w:val="24"/>
          <w:szCs w:val="24"/>
        </w:rPr>
        <w:t xml:space="preserve"> </w:t>
      </w:r>
      <w:r w:rsidRPr="00D34DCC">
        <w:rPr>
          <w:rFonts w:ascii="Times New Roman" w:hAnsi="Times New Roman" w:cs="Times New Roman"/>
          <w:sz w:val="24"/>
          <w:szCs w:val="24"/>
          <w:lang w:val="mn-MN"/>
        </w:rPr>
        <w:t xml:space="preserve"> нь тухайн хүний сарын дундаж цалин,  </w:t>
      </w:r>
      <w:r w:rsidRPr="00D34DCC">
        <w:rPr>
          <w:rFonts w:ascii="Times New Roman" w:hAnsi="Times New Roman" w:cs="Times New Roman"/>
          <w:i/>
          <w:sz w:val="24"/>
          <w:szCs w:val="24"/>
        </w:rPr>
        <w:t>age</w:t>
      </w:r>
      <w:r w:rsidRPr="00D34DCC">
        <w:rPr>
          <w:rFonts w:ascii="Times New Roman" w:hAnsi="Times New Roman" w:cs="Times New Roman"/>
          <w:i/>
          <w:sz w:val="24"/>
          <w:szCs w:val="24"/>
          <w:lang w:val="mn-MN"/>
        </w:rPr>
        <w:t xml:space="preserve">  </w:t>
      </w:r>
      <w:r w:rsidRPr="00D34DCC">
        <w:rPr>
          <w:rFonts w:ascii="Times New Roman" w:hAnsi="Times New Roman" w:cs="Times New Roman"/>
          <w:sz w:val="24"/>
          <w:szCs w:val="24"/>
          <w:lang w:val="mn-MN"/>
        </w:rPr>
        <w:t xml:space="preserve">нь нас,  </w:t>
      </w:r>
      <w:proofErr w:type="spellStart"/>
      <w:r w:rsidRPr="00D34DCC">
        <w:rPr>
          <w:rFonts w:ascii="Times New Roman" w:hAnsi="Times New Roman" w:cs="Times New Roman"/>
          <w:i/>
          <w:sz w:val="24"/>
          <w:szCs w:val="24"/>
        </w:rPr>
        <w:t>edu</w:t>
      </w:r>
      <w:r w:rsidRPr="00D34DCC">
        <w:rPr>
          <w:rFonts w:ascii="Times New Roman" w:hAnsi="Times New Roman" w:cs="Times New Roman"/>
          <w:i/>
          <w:sz w:val="24"/>
          <w:szCs w:val="24"/>
          <w:vertAlign w:val="subscript"/>
        </w:rPr>
        <w:t>j</w:t>
      </w:r>
      <w:proofErr w:type="spellEnd"/>
      <w:r w:rsidRPr="00D34DCC">
        <w:rPr>
          <w:rFonts w:ascii="Times New Roman" w:hAnsi="Times New Roman" w:cs="Times New Roman"/>
          <w:sz w:val="24"/>
          <w:szCs w:val="24"/>
          <w:lang w:val="mn-MN"/>
        </w:rPr>
        <w:t xml:space="preserve">  нь боловсролын түвшин  </w:t>
      </w:r>
      <w:r w:rsidRPr="00D34DCC">
        <w:rPr>
          <w:rFonts w:ascii="Times New Roman" w:hAnsi="Times New Roman" w:cs="Times New Roman"/>
          <w:i/>
          <w:sz w:val="24"/>
          <w:szCs w:val="24"/>
          <w:lang w:val="mn-MN"/>
        </w:rPr>
        <w:t>j</w:t>
      </w:r>
      <w:r w:rsidRPr="00D34DCC">
        <w:rPr>
          <w:rFonts w:ascii="Times New Roman" w:hAnsi="Times New Roman" w:cs="Times New Roman"/>
          <w:sz w:val="24"/>
          <w:szCs w:val="24"/>
          <w:lang w:val="mn-MN"/>
        </w:rPr>
        <w:t xml:space="preserve">-д харгалзах дамми буюу индикатор хувьсагч. Өөрөөр хэлбэл, тухайн хүний боловсролын түвшин  </w:t>
      </w:r>
      <w:r w:rsidRPr="00D34DCC">
        <w:rPr>
          <w:rFonts w:ascii="Times New Roman" w:hAnsi="Times New Roman" w:cs="Times New Roman"/>
          <w:i/>
          <w:sz w:val="24"/>
          <w:szCs w:val="24"/>
          <w:lang w:val="mn-MN"/>
        </w:rPr>
        <w:t>j</w:t>
      </w:r>
      <w:r w:rsidRPr="00D34DCC">
        <w:rPr>
          <w:rFonts w:ascii="Times New Roman" w:hAnsi="Times New Roman" w:cs="Times New Roman"/>
          <w:sz w:val="24"/>
          <w:szCs w:val="24"/>
          <w:lang w:val="mn-MN"/>
        </w:rPr>
        <w:t xml:space="preserve">  үед  </w:t>
      </w:r>
      <w:proofErr w:type="spellStart"/>
      <w:r w:rsidRPr="00D34DCC">
        <w:rPr>
          <w:rFonts w:ascii="Times New Roman" w:hAnsi="Times New Roman" w:cs="Times New Roman"/>
          <w:i/>
          <w:sz w:val="24"/>
          <w:szCs w:val="24"/>
        </w:rPr>
        <w:t>edu</w:t>
      </w:r>
      <w:r w:rsidRPr="00D34DCC">
        <w:rPr>
          <w:rFonts w:ascii="Times New Roman" w:hAnsi="Times New Roman" w:cs="Times New Roman"/>
          <w:i/>
          <w:sz w:val="24"/>
          <w:szCs w:val="24"/>
          <w:vertAlign w:val="subscript"/>
        </w:rPr>
        <w:t>j</w:t>
      </w:r>
      <w:proofErr w:type="spellEnd"/>
      <w:r w:rsidRPr="00D34DCC">
        <w:rPr>
          <w:rFonts w:ascii="Times New Roman" w:hAnsi="Times New Roman" w:cs="Times New Roman"/>
          <w:i/>
          <w:sz w:val="24"/>
          <w:szCs w:val="24"/>
          <w:vertAlign w:val="subscript"/>
          <w:lang w:val="mn-MN"/>
        </w:rPr>
        <w:t xml:space="preserve"> </w:t>
      </w:r>
      <w:r w:rsidRPr="00D34DCC">
        <w:rPr>
          <w:rFonts w:ascii="Times New Roman" w:hAnsi="Times New Roman" w:cs="Times New Roman"/>
          <w:sz w:val="24"/>
          <w:szCs w:val="24"/>
          <w:lang w:val="mn-MN"/>
        </w:rPr>
        <w:t xml:space="preserve">=1, бусад тохиолдолд </w:t>
      </w:r>
      <w:proofErr w:type="spellStart"/>
      <w:r w:rsidRPr="00D34DCC">
        <w:rPr>
          <w:rFonts w:ascii="Times New Roman" w:hAnsi="Times New Roman" w:cs="Times New Roman"/>
          <w:i/>
          <w:sz w:val="24"/>
          <w:szCs w:val="24"/>
        </w:rPr>
        <w:t>edu</w:t>
      </w:r>
      <w:r w:rsidRPr="00D34DCC">
        <w:rPr>
          <w:rFonts w:ascii="Times New Roman" w:hAnsi="Times New Roman" w:cs="Times New Roman"/>
          <w:i/>
          <w:sz w:val="24"/>
          <w:szCs w:val="24"/>
          <w:vertAlign w:val="subscript"/>
        </w:rPr>
        <w:t>j</w:t>
      </w:r>
      <w:proofErr w:type="spellEnd"/>
      <w:r w:rsidRPr="00D34DCC">
        <w:rPr>
          <w:rFonts w:ascii="Times New Roman" w:hAnsi="Times New Roman" w:cs="Times New Roman"/>
          <w:i/>
          <w:sz w:val="24"/>
          <w:szCs w:val="24"/>
          <w:vertAlign w:val="subscript"/>
          <w:lang w:val="mn-MN"/>
        </w:rPr>
        <w:t xml:space="preserve"> </w:t>
      </w:r>
      <w:r w:rsidRPr="00D34DCC">
        <w:rPr>
          <w:rFonts w:ascii="Times New Roman" w:hAnsi="Times New Roman" w:cs="Times New Roman"/>
          <w:sz w:val="24"/>
          <w:szCs w:val="24"/>
          <w:lang w:val="mn-MN"/>
        </w:rPr>
        <w:t>=0 байна. Энэхүү үнэлгээний үр дүнг хялбарчлан дараах хүснэгтэд харуулав.</w:t>
      </w:r>
    </w:p>
    <w:p w14:paraId="7C7AD124" w14:textId="77777777" w:rsidR="00D34DCC" w:rsidRPr="00D34DCC" w:rsidRDefault="00D34DCC" w:rsidP="00D34DCC">
      <w:pPr>
        <w:jc w:val="both"/>
        <w:rPr>
          <w:rFonts w:ascii="Times New Roman" w:hAnsi="Times New Roman" w:cs="Times New Roman"/>
          <w:sz w:val="24"/>
          <w:szCs w:val="24"/>
          <w:lang w:val="mn-MN"/>
        </w:rPr>
      </w:pPr>
    </w:p>
    <w:p w14:paraId="0EB64C84" w14:textId="77777777" w:rsidR="00D34DCC" w:rsidRPr="00D34DCC" w:rsidRDefault="00D34DCC" w:rsidP="00D34DCC">
      <w:pPr>
        <w:pStyle w:val="Caption"/>
        <w:jc w:val="both"/>
        <w:rPr>
          <w:rFonts w:cs="Times New Roman"/>
          <w:b w:val="0"/>
          <w:i/>
          <w:sz w:val="24"/>
          <w:szCs w:val="24"/>
          <w:lang w:val="mn-MN"/>
        </w:rPr>
      </w:pPr>
      <w:bookmarkStart w:id="2" w:name="_Toc437220569"/>
      <w:r w:rsidRPr="00D34DCC">
        <w:rPr>
          <w:rFonts w:cs="Times New Roman"/>
          <w:b w:val="0"/>
          <w:sz w:val="24"/>
          <w:szCs w:val="24"/>
        </w:rPr>
        <w:t xml:space="preserve">ХҮСНЭГТ </w:t>
      </w:r>
      <w:r w:rsidRPr="00D34DCC">
        <w:rPr>
          <w:rFonts w:cs="Times New Roman"/>
          <w:b w:val="0"/>
          <w:sz w:val="24"/>
          <w:szCs w:val="24"/>
        </w:rPr>
        <w:fldChar w:fldCharType="begin"/>
      </w:r>
      <w:r w:rsidRPr="00D34DCC">
        <w:rPr>
          <w:rFonts w:cs="Times New Roman"/>
          <w:b w:val="0"/>
          <w:sz w:val="24"/>
          <w:szCs w:val="24"/>
        </w:rPr>
        <w:instrText xml:space="preserve"> SEQ Хүснэгт \* ARABIC </w:instrText>
      </w:r>
      <w:r w:rsidRPr="00D34DCC">
        <w:rPr>
          <w:rFonts w:cs="Times New Roman"/>
          <w:b w:val="0"/>
          <w:sz w:val="24"/>
          <w:szCs w:val="24"/>
        </w:rPr>
        <w:fldChar w:fldCharType="separate"/>
      </w:r>
      <w:r w:rsidRPr="00D34DCC">
        <w:rPr>
          <w:rFonts w:cs="Times New Roman"/>
          <w:b w:val="0"/>
          <w:noProof/>
          <w:sz w:val="24"/>
          <w:szCs w:val="24"/>
        </w:rPr>
        <w:t>1</w:t>
      </w:r>
      <w:r w:rsidRPr="00D34DCC">
        <w:rPr>
          <w:rFonts w:cs="Times New Roman"/>
          <w:b w:val="0"/>
          <w:noProof/>
          <w:sz w:val="24"/>
          <w:szCs w:val="24"/>
        </w:rPr>
        <w:fldChar w:fldCharType="end"/>
      </w:r>
      <w:r w:rsidRPr="00D34DCC">
        <w:rPr>
          <w:rFonts w:cs="Times New Roman"/>
          <w:b w:val="0"/>
          <w:sz w:val="24"/>
          <w:szCs w:val="24"/>
          <w:lang w:val="mn-MN"/>
        </w:rPr>
        <w:t>. БОЛОВСРОЛЫН ӨГӨӨЖ</w:t>
      </w:r>
      <w:bookmarkEnd w:id="2"/>
    </w:p>
    <w:tbl>
      <w:tblPr>
        <w:tblW w:w="0" w:type="auto"/>
        <w:jc w:val="center"/>
        <w:tblLook w:val="04A0" w:firstRow="1" w:lastRow="0" w:firstColumn="1" w:lastColumn="0" w:noHBand="0" w:noVBand="1"/>
      </w:tblPr>
      <w:tblGrid>
        <w:gridCol w:w="3510"/>
        <w:gridCol w:w="1404"/>
      </w:tblGrid>
      <w:tr w:rsidR="00D34DCC" w:rsidRPr="00D34DCC" w14:paraId="4368F765" w14:textId="77777777" w:rsidTr="002C5A6C">
        <w:trPr>
          <w:jc w:val="center"/>
        </w:trPr>
        <w:tc>
          <w:tcPr>
            <w:tcW w:w="3510" w:type="dxa"/>
            <w:tcBorders>
              <w:top w:val="single" w:sz="4" w:space="0" w:color="auto"/>
              <w:bottom w:val="single" w:sz="4" w:space="0" w:color="auto"/>
            </w:tcBorders>
          </w:tcPr>
          <w:p w14:paraId="02A20FCA" w14:textId="77777777" w:rsidR="00D34DCC" w:rsidRPr="00D34DCC" w:rsidRDefault="00D34DCC" w:rsidP="002C5A6C">
            <w:pPr>
              <w:jc w:val="both"/>
              <w:rPr>
                <w:rFonts w:ascii="Times New Roman" w:hAnsi="Times New Roman" w:cs="Times New Roman"/>
                <w:b/>
                <w:i/>
                <w:sz w:val="24"/>
                <w:szCs w:val="24"/>
                <w:lang w:val="mn-MN"/>
              </w:rPr>
            </w:pPr>
            <w:r w:rsidRPr="00D34DCC">
              <w:rPr>
                <w:rFonts w:ascii="Times New Roman" w:hAnsi="Times New Roman" w:cs="Times New Roman"/>
                <w:b/>
                <w:i/>
                <w:sz w:val="24"/>
                <w:szCs w:val="24"/>
                <w:lang w:val="mn-MN"/>
              </w:rPr>
              <w:t>Боловсролын түвшин</w:t>
            </w:r>
          </w:p>
        </w:tc>
        <w:tc>
          <w:tcPr>
            <w:tcW w:w="1404" w:type="dxa"/>
            <w:tcBorders>
              <w:top w:val="single" w:sz="4" w:space="0" w:color="auto"/>
              <w:bottom w:val="single" w:sz="4" w:space="0" w:color="auto"/>
            </w:tcBorders>
          </w:tcPr>
          <w:p w14:paraId="1E4475D4" w14:textId="77777777" w:rsidR="00D34DCC" w:rsidRPr="00D34DCC" w:rsidRDefault="00D34DCC" w:rsidP="002C5A6C">
            <w:pPr>
              <w:jc w:val="both"/>
              <w:rPr>
                <w:rFonts w:ascii="Times New Roman" w:hAnsi="Times New Roman" w:cs="Times New Roman"/>
                <w:b/>
                <w:i/>
                <w:sz w:val="24"/>
                <w:szCs w:val="24"/>
                <w:lang w:val="mn-MN"/>
              </w:rPr>
            </w:pPr>
            <w:r w:rsidRPr="00D34DCC">
              <w:rPr>
                <w:rFonts w:ascii="Times New Roman" w:hAnsi="Times New Roman" w:cs="Times New Roman"/>
                <w:b/>
                <w:i/>
                <w:sz w:val="24"/>
                <w:szCs w:val="24"/>
                <w:lang w:val="mn-MN"/>
              </w:rPr>
              <w:t>Өгөөж</w:t>
            </w:r>
          </w:p>
        </w:tc>
      </w:tr>
      <w:tr w:rsidR="00D34DCC" w:rsidRPr="00D34DCC" w14:paraId="1716C1D2" w14:textId="77777777" w:rsidTr="002C5A6C">
        <w:trPr>
          <w:jc w:val="center"/>
        </w:trPr>
        <w:tc>
          <w:tcPr>
            <w:tcW w:w="3510" w:type="dxa"/>
            <w:tcBorders>
              <w:top w:val="single" w:sz="4" w:space="0" w:color="auto"/>
            </w:tcBorders>
          </w:tcPr>
          <w:p w14:paraId="2CE7C312"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lang w:val="mn-MN"/>
              </w:rPr>
            </w:pPr>
            <w:r w:rsidRPr="00D34DCC">
              <w:rPr>
                <w:rFonts w:ascii="Times New Roman" w:eastAsia="Times New Roman" w:hAnsi="Times New Roman" w:cs="Times New Roman"/>
                <w:b/>
                <w:color w:val="000000"/>
                <w:sz w:val="24"/>
                <w:szCs w:val="24"/>
                <w:lang w:val="mn-MN"/>
              </w:rPr>
              <w:t>Бүрэн дундаас доош</w:t>
            </w:r>
          </w:p>
        </w:tc>
        <w:tc>
          <w:tcPr>
            <w:tcW w:w="1404" w:type="dxa"/>
            <w:tcBorders>
              <w:top w:val="single" w:sz="4" w:space="0" w:color="auto"/>
            </w:tcBorders>
            <w:vAlign w:val="bottom"/>
          </w:tcPr>
          <w:p w14:paraId="52335A29" w14:textId="77777777" w:rsidR="00D34DCC" w:rsidRPr="00D34DCC" w:rsidRDefault="00D34DCC" w:rsidP="002C5A6C">
            <w:pPr>
              <w:spacing w:before="60" w:after="60"/>
              <w:jc w:val="both"/>
              <w:rPr>
                <w:rFonts w:ascii="Times New Roman" w:hAnsi="Times New Roman" w:cs="Times New Roman"/>
                <w:color w:val="000000"/>
                <w:sz w:val="24"/>
                <w:szCs w:val="24"/>
                <w:lang w:val="mn-MN"/>
              </w:rPr>
            </w:pPr>
            <w:r w:rsidRPr="00D34DCC">
              <w:rPr>
                <w:rFonts w:ascii="Times New Roman" w:hAnsi="Times New Roman" w:cs="Times New Roman"/>
                <w:color w:val="000000"/>
                <w:sz w:val="24"/>
                <w:szCs w:val="24"/>
              </w:rPr>
              <w:t>-39%</w:t>
            </w:r>
          </w:p>
        </w:tc>
      </w:tr>
      <w:tr w:rsidR="00D34DCC" w:rsidRPr="00D34DCC" w14:paraId="6E9CFD80" w14:textId="77777777" w:rsidTr="002C5A6C">
        <w:trPr>
          <w:jc w:val="center"/>
        </w:trPr>
        <w:tc>
          <w:tcPr>
            <w:tcW w:w="3510" w:type="dxa"/>
          </w:tcPr>
          <w:p w14:paraId="5F16507B"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lang w:val="mn-MN"/>
              </w:rPr>
            </w:pPr>
            <w:r w:rsidRPr="00D34DCC">
              <w:rPr>
                <w:rFonts w:ascii="Times New Roman" w:eastAsia="Times New Roman" w:hAnsi="Times New Roman" w:cs="Times New Roman"/>
                <w:b/>
                <w:color w:val="000000"/>
                <w:sz w:val="24"/>
                <w:szCs w:val="24"/>
                <w:lang w:val="mn-MN"/>
              </w:rPr>
              <w:t>Бүрэн дунд</w:t>
            </w:r>
          </w:p>
        </w:tc>
        <w:tc>
          <w:tcPr>
            <w:tcW w:w="1404" w:type="dxa"/>
            <w:vAlign w:val="bottom"/>
          </w:tcPr>
          <w:p w14:paraId="761A6B8D"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0%</w:t>
            </w:r>
          </w:p>
        </w:tc>
      </w:tr>
      <w:tr w:rsidR="00D34DCC" w:rsidRPr="00D34DCC" w14:paraId="1CCD0DB2" w14:textId="77777777" w:rsidTr="002C5A6C">
        <w:trPr>
          <w:jc w:val="center"/>
        </w:trPr>
        <w:tc>
          <w:tcPr>
            <w:tcW w:w="3510" w:type="dxa"/>
          </w:tcPr>
          <w:p w14:paraId="17B60C51"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lang w:val="mn-MN"/>
              </w:rPr>
            </w:pPr>
            <w:r w:rsidRPr="00D34DCC">
              <w:rPr>
                <w:rFonts w:ascii="Times New Roman" w:eastAsia="Times New Roman" w:hAnsi="Times New Roman" w:cs="Times New Roman"/>
                <w:b/>
                <w:color w:val="000000"/>
                <w:sz w:val="24"/>
                <w:szCs w:val="24"/>
                <w:lang w:val="mn-MN"/>
              </w:rPr>
              <w:t>Техник мэргэжлийн дунд</w:t>
            </w:r>
          </w:p>
        </w:tc>
        <w:tc>
          <w:tcPr>
            <w:tcW w:w="1404" w:type="dxa"/>
            <w:vAlign w:val="bottom"/>
          </w:tcPr>
          <w:p w14:paraId="3E0339CC"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11%</w:t>
            </w:r>
          </w:p>
        </w:tc>
      </w:tr>
      <w:tr w:rsidR="00D34DCC" w:rsidRPr="00D34DCC" w14:paraId="6499343C" w14:textId="77777777" w:rsidTr="002C5A6C">
        <w:trPr>
          <w:jc w:val="center"/>
        </w:trPr>
        <w:tc>
          <w:tcPr>
            <w:tcW w:w="3510" w:type="dxa"/>
          </w:tcPr>
          <w:p w14:paraId="01931D31"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lang w:val="mn-MN"/>
              </w:rPr>
            </w:pPr>
            <w:r w:rsidRPr="00D34DCC">
              <w:rPr>
                <w:rFonts w:ascii="Times New Roman" w:eastAsia="Times New Roman" w:hAnsi="Times New Roman" w:cs="Times New Roman"/>
                <w:b/>
                <w:color w:val="000000"/>
                <w:sz w:val="24"/>
                <w:szCs w:val="24"/>
                <w:lang w:val="mn-MN"/>
              </w:rPr>
              <w:t>Тусгай мэргэжлийн дунд</w:t>
            </w:r>
          </w:p>
        </w:tc>
        <w:tc>
          <w:tcPr>
            <w:tcW w:w="1404" w:type="dxa"/>
            <w:vAlign w:val="bottom"/>
          </w:tcPr>
          <w:p w14:paraId="03D384C5"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17%</w:t>
            </w:r>
          </w:p>
        </w:tc>
      </w:tr>
      <w:tr w:rsidR="00D34DCC" w:rsidRPr="00D34DCC" w14:paraId="7844B66E" w14:textId="77777777" w:rsidTr="002C5A6C">
        <w:trPr>
          <w:jc w:val="center"/>
        </w:trPr>
        <w:tc>
          <w:tcPr>
            <w:tcW w:w="3510" w:type="dxa"/>
          </w:tcPr>
          <w:p w14:paraId="6475CFC1"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lang w:val="mn-MN"/>
              </w:rPr>
            </w:pPr>
            <w:r w:rsidRPr="00D34DCC">
              <w:rPr>
                <w:rFonts w:ascii="Times New Roman" w:eastAsia="Times New Roman" w:hAnsi="Times New Roman" w:cs="Times New Roman"/>
                <w:b/>
                <w:color w:val="000000"/>
                <w:sz w:val="24"/>
                <w:szCs w:val="24"/>
                <w:lang w:val="mn-MN"/>
              </w:rPr>
              <w:t>Дипломын дээд болон бакалавр</w:t>
            </w:r>
          </w:p>
        </w:tc>
        <w:tc>
          <w:tcPr>
            <w:tcW w:w="1404" w:type="dxa"/>
            <w:vAlign w:val="bottom"/>
          </w:tcPr>
          <w:p w14:paraId="16AFFB34"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41%</w:t>
            </w:r>
          </w:p>
        </w:tc>
      </w:tr>
      <w:tr w:rsidR="00D34DCC" w:rsidRPr="00D34DCC" w14:paraId="3284D6EB" w14:textId="77777777" w:rsidTr="002C5A6C">
        <w:trPr>
          <w:jc w:val="center"/>
        </w:trPr>
        <w:tc>
          <w:tcPr>
            <w:tcW w:w="3510" w:type="dxa"/>
            <w:tcBorders>
              <w:bottom w:val="single" w:sz="4" w:space="0" w:color="auto"/>
            </w:tcBorders>
          </w:tcPr>
          <w:p w14:paraId="7F17912B"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lang w:val="mn-MN"/>
              </w:rPr>
            </w:pPr>
            <w:r w:rsidRPr="00D34DCC">
              <w:rPr>
                <w:rFonts w:ascii="Times New Roman" w:eastAsia="Times New Roman" w:hAnsi="Times New Roman" w:cs="Times New Roman"/>
                <w:b/>
                <w:color w:val="000000"/>
                <w:sz w:val="24"/>
                <w:szCs w:val="24"/>
                <w:lang w:val="mn-MN"/>
              </w:rPr>
              <w:t xml:space="preserve">Дипломын дараах </w:t>
            </w:r>
          </w:p>
        </w:tc>
        <w:tc>
          <w:tcPr>
            <w:tcW w:w="1404" w:type="dxa"/>
            <w:tcBorders>
              <w:bottom w:val="single" w:sz="4" w:space="0" w:color="auto"/>
            </w:tcBorders>
            <w:vAlign w:val="bottom"/>
          </w:tcPr>
          <w:p w14:paraId="46291E86"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54%</w:t>
            </w:r>
          </w:p>
        </w:tc>
      </w:tr>
      <w:tr w:rsidR="00D34DCC" w:rsidRPr="00D34DCC" w14:paraId="67F650AF" w14:textId="77777777" w:rsidTr="002C5A6C">
        <w:trPr>
          <w:jc w:val="center"/>
        </w:trPr>
        <w:tc>
          <w:tcPr>
            <w:tcW w:w="4914" w:type="dxa"/>
            <w:gridSpan w:val="2"/>
            <w:tcBorders>
              <w:top w:val="single" w:sz="4" w:space="0" w:color="auto"/>
            </w:tcBorders>
          </w:tcPr>
          <w:p w14:paraId="2D35BFDA" w14:textId="77777777" w:rsidR="00D34DCC" w:rsidRPr="00D34DCC" w:rsidRDefault="00D34DCC" w:rsidP="002C5A6C">
            <w:pPr>
              <w:jc w:val="both"/>
              <w:rPr>
                <w:rFonts w:ascii="Times New Roman" w:eastAsia="Times New Roman" w:hAnsi="Times New Roman" w:cs="Times New Roman"/>
                <w:b/>
                <w:i/>
                <w:color w:val="000000"/>
                <w:sz w:val="24"/>
                <w:szCs w:val="24"/>
              </w:rPr>
            </w:pPr>
            <w:r w:rsidRPr="00D34DCC">
              <w:rPr>
                <w:rFonts w:ascii="Times New Roman" w:eastAsia="Times New Roman" w:hAnsi="Times New Roman" w:cs="Times New Roman"/>
                <w:b/>
                <w:i/>
                <w:color w:val="000000"/>
                <w:sz w:val="24"/>
                <w:szCs w:val="24"/>
              </w:rPr>
              <w:t>N = 13 594</w:t>
            </w:r>
          </w:p>
          <w:p w14:paraId="020DD6CE" w14:textId="77777777" w:rsidR="00D34DCC" w:rsidRPr="00D34DCC" w:rsidRDefault="00D34DCC" w:rsidP="002C5A6C">
            <w:pPr>
              <w:jc w:val="both"/>
              <w:rPr>
                <w:rFonts w:ascii="Times New Roman" w:eastAsia="Times New Roman" w:hAnsi="Times New Roman" w:cs="Times New Roman"/>
                <w:b/>
                <w:color w:val="000000"/>
                <w:sz w:val="24"/>
                <w:szCs w:val="24"/>
                <w:lang w:val="mn-MN"/>
              </w:rPr>
            </w:pPr>
            <w:r w:rsidRPr="00D34DCC">
              <w:rPr>
                <w:rFonts w:ascii="Times New Roman" w:eastAsia="Times New Roman" w:hAnsi="Times New Roman" w:cs="Times New Roman"/>
                <w:b/>
                <w:i/>
                <w:color w:val="000000"/>
                <w:sz w:val="24"/>
                <w:szCs w:val="24"/>
                <w:lang w:val="mn-MN"/>
              </w:rPr>
              <w:t xml:space="preserve">Тэмдэглэл: </w:t>
            </w:r>
            <w:r w:rsidRPr="00D34DCC">
              <w:rPr>
                <w:rFonts w:ascii="Times New Roman" w:eastAsia="Times New Roman" w:hAnsi="Times New Roman" w:cs="Times New Roman"/>
                <w:b/>
                <w:color w:val="000000"/>
                <w:sz w:val="24"/>
                <w:szCs w:val="24"/>
                <w:lang w:val="mn-MN"/>
              </w:rPr>
              <w:t>Энэ хүснэгт тухайн хүн бүрэн дунд боловсролтой, нас чацуу хүнтэй харьцуулахад цалин нь дунджаар хэдэн хувь зөрүүтэй байхыг харуулна.</w:t>
            </w:r>
            <w:r w:rsidRPr="00D34DCC">
              <w:rPr>
                <w:rFonts w:ascii="Times New Roman" w:eastAsia="Times New Roman" w:hAnsi="Times New Roman" w:cs="Times New Roman"/>
                <w:b/>
                <w:color w:val="000000"/>
                <w:sz w:val="24"/>
                <w:szCs w:val="24"/>
              </w:rPr>
              <w:t xml:space="preserve"> </w:t>
            </w:r>
            <w:r w:rsidRPr="00D34DCC">
              <w:rPr>
                <w:rFonts w:ascii="Times New Roman" w:eastAsia="Times New Roman" w:hAnsi="Times New Roman" w:cs="Times New Roman"/>
                <w:b/>
                <w:color w:val="000000"/>
                <w:sz w:val="24"/>
                <w:szCs w:val="24"/>
                <w:lang w:val="mn-MN"/>
              </w:rPr>
              <w:t>Бүх хувьсагч 99%-ийн итгэх түвшинд статистикийн хувьд ач холбогдолтой.</w:t>
            </w:r>
          </w:p>
        </w:tc>
      </w:tr>
    </w:tbl>
    <w:p w14:paraId="6F823E16" w14:textId="77777777" w:rsidR="00D34DCC" w:rsidRPr="00D34DCC" w:rsidRDefault="00D34DCC" w:rsidP="00D34DCC">
      <w:pPr>
        <w:jc w:val="both"/>
        <w:rPr>
          <w:rFonts w:ascii="Times New Roman" w:hAnsi="Times New Roman" w:cs="Times New Roman"/>
          <w:sz w:val="24"/>
          <w:szCs w:val="24"/>
          <w:lang w:val="mn-MN"/>
        </w:rPr>
      </w:pPr>
    </w:p>
    <w:p w14:paraId="7294D424"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Хүснэгтээс харвал, нас чацуу хүмүүсийг харьцуулахад, бакалаврын боловсролтой хүн</w:t>
      </w:r>
      <w:r w:rsidRPr="00D34DCC">
        <w:rPr>
          <w:rFonts w:ascii="Times New Roman" w:hAnsi="Times New Roman" w:cs="Times New Roman"/>
          <w:sz w:val="24"/>
          <w:szCs w:val="24"/>
        </w:rPr>
        <w:t xml:space="preserve"> </w:t>
      </w:r>
      <w:r w:rsidRPr="00D34DCC">
        <w:rPr>
          <w:rFonts w:ascii="Times New Roman" w:hAnsi="Times New Roman" w:cs="Times New Roman"/>
          <w:sz w:val="24"/>
          <w:szCs w:val="24"/>
          <w:lang w:val="mn-MN"/>
        </w:rPr>
        <w:t>бүрэн дунд боловсролтой хүнээс дунджаар 41% өндөр цалин авч байна. Жишээлбэл, бүрэн дунд боловсролтой 25 настай залуу 500 мянган төгрөгийн цалинтай байхад түүнтэй чацуу дээд боловсролтой залуу ойролцоогоор 700 мянган төгрөгийн цалинтай байна гэсэн үг юм.</w:t>
      </w:r>
    </w:p>
    <w:p w14:paraId="529B568C" w14:textId="77777777" w:rsidR="00D34DCC" w:rsidRPr="00D34DCC" w:rsidRDefault="00D34DCC" w:rsidP="00D34DCC">
      <w:pPr>
        <w:jc w:val="both"/>
        <w:rPr>
          <w:rFonts w:ascii="Times New Roman" w:hAnsi="Times New Roman" w:cs="Times New Roman"/>
          <w:sz w:val="24"/>
          <w:szCs w:val="24"/>
          <w:lang w:val="mn-MN"/>
        </w:rPr>
      </w:pPr>
    </w:p>
    <w:p w14:paraId="2C54213C" w14:textId="77777777" w:rsidR="00D34DCC" w:rsidRPr="00D34DCC" w:rsidRDefault="00D34DCC" w:rsidP="00D34DCC">
      <w:pPr>
        <w:jc w:val="both"/>
        <w:rPr>
          <w:rFonts w:ascii="Times New Roman" w:hAnsi="Times New Roman" w:cs="Times New Roman"/>
          <w:b/>
          <w:sz w:val="24"/>
          <w:szCs w:val="24"/>
          <w:lang w:val="mn-MN"/>
        </w:rPr>
      </w:pPr>
      <w:bookmarkStart w:id="3" w:name="Reading"/>
      <w:bookmarkEnd w:id="3"/>
      <w:r w:rsidRPr="00D34DCC">
        <w:rPr>
          <w:rFonts w:ascii="Times New Roman" w:hAnsi="Times New Roman" w:cs="Times New Roman"/>
          <w:b/>
          <w:sz w:val="24"/>
          <w:szCs w:val="24"/>
          <w:lang w:val="mn-MN"/>
        </w:rPr>
        <w:t xml:space="preserve">Бусад оронтой харьцуулахад </w:t>
      </w:r>
    </w:p>
    <w:p w14:paraId="328BD59C" w14:textId="77777777" w:rsidR="00D34DCC" w:rsidRPr="00D34DCC" w:rsidRDefault="00D34DCC" w:rsidP="00D34DCC">
      <w:pPr>
        <w:jc w:val="both"/>
        <w:rPr>
          <w:rFonts w:ascii="Times New Roman" w:hAnsi="Times New Roman" w:cs="Times New Roman"/>
          <w:sz w:val="24"/>
          <w:szCs w:val="24"/>
        </w:rPr>
      </w:pPr>
      <w:r w:rsidRPr="00D34DCC">
        <w:rPr>
          <w:rFonts w:ascii="Times New Roman" w:hAnsi="Times New Roman" w:cs="Times New Roman"/>
          <w:sz w:val="24"/>
          <w:szCs w:val="24"/>
          <w:lang w:val="mn-MN"/>
        </w:rPr>
        <w:t>АНУ-ын сүүлийн 40 жилийн тоогоор, дээд боловсролын харьцангуй өгөөж 41%</w:t>
      </w:r>
      <w:r w:rsidRPr="00D34DCC">
        <w:rPr>
          <w:rFonts w:ascii="Times New Roman" w:hAnsi="Times New Roman" w:cs="Times New Roman"/>
          <w:sz w:val="24"/>
          <w:szCs w:val="24"/>
        </w:rPr>
        <w:t xml:space="preserve"> </w:t>
      </w:r>
      <w:r w:rsidRPr="00D34DCC">
        <w:rPr>
          <w:rFonts w:ascii="Times New Roman" w:hAnsi="Times New Roman" w:cs="Times New Roman"/>
          <w:sz w:val="24"/>
          <w:szCs w:val="24"/>
          <w:lang w:val="mn-MN"/>
        </w:rPr>
        <w:t xml:space="preserve">байна </w:t>
      </w:r>
      <w:sdt>
        <w:sdtPr>
          <w:rPr>
            <w:rFonts w:ascii="Times New Roman" w:hAnsi="Times New Roman" w:cs="Times New Roman"/>
            <w:sz w:val="24"/>
            <w:szCs w:val="24"/>
            <w:lang w:val="mn-MN"/>
          </w:rPr>
          <w:id w:val="130544779"/>
          <w:citation/>
        </w:sdtPr>
        <w:sdtContent>
          <w:r w:rsidRPr="00D34DCC">
            <w:rPr>
              <w:rFonts w:ascii="Times New Roman" w:hAnsi="Times New Roman" w:cs="Times New Roman"/>
              <w:sz w:val="24"/>
              <w:szCs w:val="24"/>
              <w:lang w:val="mn-MN"/>
            </w:rPr>
            <w:fldChar w:fldCharType="begin"/>
          </w:r>
          <w:r w:rsidRPr="00D34DCC">
            <w:rPr>
              <w:rFonts w:ascii="Times New Roman" w:hAnsi="Times New Roman" w:cs="Times New Roman"/>
              <w:sz w:val="24"/>
              <w:szCs w:val="24"/>
              <w:lang w:val="mn-MN"/>
            </w:rPr>
            <w:instrText xml:space="preserve"> CITATION DLk14 \l 1104 </w:instrText>
          </w:r>
          <w:r w:rsidRPr="00D34DCC">
            <w:rPr>
              <w:rFonts w:ascii="Times New Roman" w:hAnsi="Times New Roman" w:cs="Times New Roman"/>
              <w:sz w:val="24"/>
              <w:szCs w:val="24"/>
              <w:lang w:val="mn-MN"/>
            </w:rPr>
            <w:fldChar w:fldCharType="separate"/>
          </w:r>
          <w:r w:rsidRPr="00D34DCC">
            <w:rPr>
              <w:rFonts w:ascii="Times New Roman" w:hAnsi="Times New Roman" w:cs="Times New Roman"/>
              <w:noProof/>
              <w:sz w:val="24"/>
              <w:szCs w:val="24"/>
              <w:lang w:val="mn-MN"/>
            </w:rPr>
            <w:t>(Lkhagvasuren, 2014)</w:t>
          </w:r>
          <w:r w:rsidRPr="00D34DCC">
            <w:rPr>
              <w:rFonts w:ascii="Times New Roman" w:hAnsi="Times New Roman" w:cs="Times New Roman"/>
              <w:sz w:val="24"/>
              <w:szCs w:val="24"/>
              <w:lang w:val="mn-MN"/>
            </w:rPr>
            <w:fldChar w:fldCharType="end"/>
          </w:r>
        </w:sdtContent>
      </w:sdt>
      <w:r w:rsidRPr="00D34DCC">
        <w:rPr>
          <w:rFonts w:ascii="Times New Roman" w:hAnsi="Times New Roman" w:cs="Times New Roman"/>
          <w:sz w:val="24"/>
          <w:szCs w:val="24"/>
          <w:lang w:val="mn-MN"/>
        </w:rPr>
        <w:t xml:space="preserve">. Энэ нь дээд боловсролын өгөөж АНУ, Монголын хооронд </w:t>
      </w:r>
      <w:r w:rsidRPr="00D34DCC">
        <w:rPr>
          <w:rFonts w:ascii="Times New Roman" w:hAnsi="Times New Roman" w:cs="Times New Roman"/>
          <w:sz w:val="24"/>
          <w:szCs w:val="24"/>
          <w:lang w:val="mn-MN"/>
        </w:rPr>
        <w:lastRenderedPageBreak/>
        <w:t xml:space="preserve">мэдэгдэхүйц ялгаагүй байна гэсэн үг юм. Европод энэ өгөөж АНУ-ынхаас бага байдаг </w:t>
      </w:r>
      <w:sdt>
        <w:sdtPr>
          <w:rPr>
            <w:rFonts w:ascii="Times New Roman" w:hAnsi="Times New Roman" w:cs="Times New Roman"/>
            <w:sz w:val="24"/>
            <w:szCs w:val="24"/>
            <w:lang w:val="mn-MN"/>
          </w:rPr>
          <w:id w:val="130544780"/>
          <w:citation/>
        </w:sdtPr>
        <w:sdtContent>
          <w:r w:rsidRPr="00D34DCC">
            <w:rPr>
              <w:rFonts w:ascii="Times New Roman" w:hAnsi="Times New Roman" w:cs="Times New Roman"/>
              <w:sz w:val="24"/>
              <w:szCs w:val="24"/>
            </w:rPr>
            <w:fldChar w:fldCharType="begin"/>
          </w:r>
          <w:r w:rsidRPr="00D34DCC">
            <w:rPr>
              <w:rFonts w:ascii="Times New Roman" w:hAnsi="Times New Roman" w:cs="Times New Roman"/>
              <w:sz w:val="24"/>
              <w:szCs w:val="24"/>
            </w:rPr>
            <w:instrText xml:space="preserve"> CITATION Kru10 \m Cri12 \l 1033  </w:instrText>
          </w:r>
          <w:r w:rsidRPr="00D34DCC">
            <w:rPr>
              <w:rFonts w:ascii="Times New Roman" w:hAnsi="Times New Roman" w:cs="Times New Roman"/>
              <w:sz w:val="24"/>
              <w:szCs w:val="24"/>
            </w:rPr>
            <w:fldChar w:fldCharType="separate"/>
          </w:r>
          <w:r w:rsidRPr="00D34DCC">
            <w:rPr>
              <w:rFonts w:ascii="Times New Roman" w:hAnsi="Times New Roman" w:cs="Times New Roman"/>
              <w:noProof/>
              <w:sz w:val="24"/>
              <w:szCs w:val="24"/>
            </w:rPr>
            <w:t>(Krueger, 2010; Crivellaro, 2012)</w:t>
          </w:r>
          <w:r w:rsidRPr="00D34DCC">
            <w:rPr>
              <w:rFonts w:ascii="Times New Roman" w:hAnsi="Times New Roman" w:cs="Times New Roman"/>
              <w:noProof/>
              <w:sz w:val="24"/>
              <w:szCs w:val="24"/>
            </w:rPr>
            <w:fldChar w:fldCharType="end"/>
          </w:r>
        </w:sdtContent>
      </w:sdt>
      <w:r w:rsidRPr="00D34DCC">
        <w:rPr>
          <w:rFonts w:ascii="Times New Roman" w:hAnsi="Times New Roman" w:cs="Times New Roman"/>
          <w:sz w:val="24"/>
          <w:szCs w:val="24"/>
        </w:rPr>
        <w:t xml:space="preserve">. </w:t>
      </w:r>
      <w:proofErr w:type="spellStart"/>
      <w:r w:rsidRPr="00D34DCC">
        <w:rPr>
          <w:rFonts w:ascii="Times New Roman" w:hAnsi="Times New Roman" w:cs="Times New Roman"/>
          <w:sz w:val="24"/>
          <w:szCs w:val="24"/>
        </w:rPr>
        <w:t>Бид</w:t>
      </w:r>
      <w:proofErr w:type="spellEnd"/>
      <w:r w:rsidRPr="00D34DCC">
        <w:rPr>
          <w:rFonts w:ascii="Times New Roman" w:hAnsi="Times New Roman" w:cs="Times New Roman"/>
          <w:sz w:val="24"/>
          <w:szCs w:val="24"/>
        </w:rPr>
        <w:t xml:space="preserve"> </w:t>
      </w:r>
      <w:proofErr w:type="spellStart"/>
      <w:r w:rsidRPr="00D34DCC">
        <w:rPr>
          <w:rFonts w:ascii="Times New Roman" w:hAnsi="Times New Roman" w:cs="Times New Roman"/>
          <w:sz w:val="24"/>
          <w:szCs w:val="24"/>
        </w:rPr>
        <w:t>цаашид</w:t>
      </w:r>
      <w:proofErr w:type="spellEnd"/>
      <w:r w:rsidRPr="00D34DCC">
        <w:rPr>
          <w:rFonts w:ascii="Times New Roman" w:hAnsi="Times New Roman" w:cs="Times New Roman"/>
          <w:sz w:val="24"/>
          <w:szCs w:val="24"/>
        </w:rPr>
        <w:t xml:space="preserve"> </w:t>
      </w:r>
      <w:proofErr w:type="spellStart"/>
      <w:r w:rsidRPr="00D34DCC">
        <w:rPr>
          <w:rFonts w:ascii="Times New Roman" w:hAnsi="Times New Roman" w:cs="Times New Roman"/>
          <w:sz w:val="24"/>
          <w:szCs w:val="24"/>
        </w:rPr>
        <w:t>энэхүү</w:t>
      </w:r>
      <w:proofErr w:type="spellEnd"/>
      <w:r w:rsidRPr="00D34DCC">
        <w:rPr>
          <w:rFonts w:ascii="Times New Roman" w:hAnsi="Times New Roman" w:cs="Times New Roman"/>
          <w:sz w:val="24"/>
          <w:szCs w:val="24"/>
        </w:rPr>
        <w:t xml:space="preserve"> </w:t>
      </w:r>
      <w:proofErr w:type="spellStart"/>
      <w:r w:rsidRPr="00D34DCC">
        <w:rPr>
          <w:rFonts w:ascii="Times New Roman" w:hAnsi="Times New Roman" w:cs="Times New Roman"/>
          <w:sz w:val="24"/>
          <w:szCs w:val="24"/>
        </w:rPr>
        <w:t>харьцангуй</w:t>
      </w:r>
      <w:proofErr w:type="spellEnd"/>
      <w:r w:rsidRPr="00D34DCC">
        <w:rPr>
          <w:rFonts w:ascii="Times New Roman" w:hAnsi="Times New Roman" w:cs="Times New Roman"/>
          <w:sz w:val="24"/>
          <w:szCs w:val="24"/>
        </w:rPr>
        <w:t xml:space="preserve"> </w:t>
      </w:r>
      <w:proofErr w:type="spellStart"/>
      <w:r w:rsidRPr="00D34DCC">
        <w:rPr>
          <w:rFonts w:ascii="Times New Roman" w:hAnsi="Times New Roman" w:cs="Times New Roman"/>
          <w:sz w:val="24"/>
          <w:szCs w:val="24"/>
        </w:rPr>
        <w:t>өгөөжийг</w:t>
      </w:r>
      <w:proofErr w:type="spellEnd"/>
      <w:r w:rsidRPr="00D34DCC">
        <w:rPr>
          <w:rFonts w:ascii="Times New Roman" w:hAnsi="Times New Roman" w:cs="Times New Roman"/>
          <w:sz w:val="24"/>
          <w:szCs w:val="24"/>
        </w:rPr>
        <w:t xml:space="preserve"> </w:t>
      </w:r>
      <w:proofErr w:type="spellStart"/>
      <w:r w:rsidRPr="00D34DCC">
        <w:rPr>
          <w:rFonts w:ascii="Times New Roman" w:hAnsi="Times New Roman" w:cs="Times New Roman"/>
          <w:sz w:val="24"/>
          <w:szCs w:val="24"/>
        </w:rPr>
        <w:t>дээд</w:t>
      </w:r>
      <w:proofErr w:type="spellEnd"/>
      <w:r w:rsidRPr="00D34DCC">
        <w:rPr>
          <w:rFonts w:ascii="Times New Roman" w:hAnsi="Times New Roman" w:cs="Times New Roman"/>
          <w:sz w:val="24"/>
          <w:szCs w:val="24"/>
        </w:rPr>
        <w:t xml:space="preserve"> </w:t>
      </w:r>
      <w:proofErr w:type="spellStart"/>
      <w:r w:rsidRPr="00D34DCC">
        <w:rPr>
          <w:rFonts w:ascii="Times New Roman" w:hAnsi="Times New Roman" w:cs="Times New Roman"/>
          <w:sz w:val="24"/>
          <w:szCs w:val="24"/>
        </w:rPr>
        <w:t>боловсролын</w:t>
      </w:r>
      <w:proofErr w:type="spellEnd"/>
      <w:r w:rsidRPr="00D34DCC">
        <w:rPr>
          <w:rFonts w:ascii="Times New Roman" w:hAnsi="Times New Roman" w:cs="Times New Roman"/>
          <w:sz w:val="24"/>
          <w:szCs w:val="24"/>
        </w:rPr>
        <w:t xml:space="preserve"> </w:t>
      </w:r>
      <w:proofErr w:type="spellStart"/>
      <w:r w:rsidRPr="00D34DCC">
        <w:rPr>
          <w:rFonts w:ascii="Times New Roman" w:hAnsi="Times New Roman" w:cs="Times New Roman"/>
          <w:sz w:val="24"/>
          <w:szCs w:val="24"/>
        </w:rPr>
        <w:t>өгөөж</w:t>
      </w:r>
      <w:proofErr w:type="spellEnd"/>
      <w:r w:rsidRPr="00D34DCC">
        <w:rPr>
          <w:rFonts w:ascii="Times New Roman" w:hAnsi="Times New Roman" w:cs="Times New Roman"/>
          <w:sz w:val="24"/>
          <w:szCs w:val="24"/>
        </w:rPr>
        <w:t xml:space="preserve"> (college premium) </w:t>
      </w:r>
      <w:proofErr w:type="spellStart"/>
      <w:r w:rsidRPr="00D34DCC">
        <w:rPr>
          <w:rFonts w:ascii="Times New Roman" w:hAnsi="Times New Roman" w:cs="Times New Roman"/>
          <w:sz w:val="24"/>
          <w:szCs w:val="24"/>
        </w:rPr>
        <w:t>гэсэн</w:t>
      </w:r>
      <w:proofErr w:type="spellEnd"/>
      <w:r w:rsidRPr="00D34DCC">
        <w:rPr>
          <w:rFonts w:ascii="Times New Roman" w:hAnsi="Times New Roman" w:cs="Times New Roman"/>
          <w:sz w:val="24"/>
          <w:szCs w:val="24"/>
        </w:rPr>
        <w:t xml:space="preserve"> </w:t>
      </w:r>
      <w:proofErr w:type="spellStart"/>
      <w:r w:rsidRPr="00D34DCC">
        <w:rPr>
          <w:rFonts w:ascii="Times New Roman" w:hAnsi="Times New Roman" w:cs="Times New Roman"/>
          <w:sz w:val="24"/>
          <w:szCs w:val="24"/>
        </w:rPr>
        <w:t>нийтлэг</w:t>
      </w:r>
      <w:proofErr w:type="spellEnd"/>
      <w:r w:rsidRPr="00D34DCC">
        <w:rPr>
          <w:rFonts w:ascii="Times New Roman" w:hAnsi="Times New Roman" w:cs="Times New Roman"/>
          <w:sz w:val="24"/>
          <w:szCs w:val="24"/>
        </w:rPr>
        <w:t xml:space="preserve"> </w:t>
      </w:r>
      <w:proofErr w:type="spellStart"/>
      <w:r w:rsidRPr="00D34DCC">
        <w:rPr>
          <w:rFonts w:ascii="Times New Roman" w:hAnsi="Times New Roman" w:cs="Times New Roman"/>
          <w:sz w:val="24"/>
          <w:szCs w:val="24"/>
        </w:rPr>
        <w:t>нэр</w:t>
      </w:r>
      <w:proofErr w:type="spellEnd"/>
      <w:r w:rsidRPr="00D34DCC">
        <w:rPr>
          <w:rFonts w:ascii="Times New Roman" w:hAnsi="Times New Roman" w:cs="Times New Roman"/>
          <w:sz w:val="24"/>
          <w:szCs w:val="24"/>
        </w:rPr>
        <w:t xml:space="preserve"> </w:t>
      </w:r>
      <w:proofErr w:type="spellStart"/>
      <w:r w:rsidRPr="00D34DCC">
        <w:rPr>
          <w:rFonts w:ascii="Times New Roman" w:hAnsi="Times New Roman" w:cs="Times New Roman"/>
          <w:sz w:val="24"/>
          <w:szCs w:val="24"/>
        </w:rPr>
        <w:t>томъёогоор</w:t>
      </w:r>
      <w:proofErr w:type="spellEnd"/>
      <w:r w:rsidRPr="00D34DCC">
        <w:rPr>
          <w:rFonts w:ascii="Times New Roman" w:hAnsi="Times New Roman" w:cs="Times New Roman"/>
          <w:sz w:val="24"/>
          <w:szCs w:val="24"/>
        </w:rPr>
        <w:t xml:space="preserve"> </w:t>
      </w:r>
      <w:r w:rsidRPr="00D34DCC">
        <w:rPr>
          <w:rFonts w:ascii="Times New Roman" w:hAnsi="Times New Roman" w:cs="Times New Roman"/>
          <w:sz w:val="24"/>
          <w:szCs w:val="24"/>
          <w:lang w:val="mn-MN"/>
        </w:rPr>
        <w:t>илэрхийл</w:t>
      </w:r>
      <w:proofErr w:type="spellStart"/>
      <w:r w:rsidRPr="00D34DCC">
        <w:rPr>
          <w:rFonts w:ascii="Times New Roman" w:hAnsi="Times New Roman" w:cs="Times New Roman"/>
          <w:sz w:val="24"/>
          <w:szCs w:val="24"/>
        </w:rPr>
        <w:t>нэ</w:t>
      </w:r>
      <w:proofErr w:type="spellEnd"/>
      <w:r w:rsidRPr="00D34DCC">
        <w:rPr>
          <w:rFonts w:ascii="Times New Roman" w:hAnsi="Times New Roman" w:cs="Times New Roman"/>
          <w:sz w:val="24"/>
          <w:szCs w:val="24"/>
        </w:rPr>
        <w:t>.</w:t>
      </w:r>
    </w:p>
    <w:p w14:paraId="398EA135"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Энэ бүхэн нь Монгол дахь дээд боловсролтой хүмүүс, АНУ дахь  дээд боловсролтой хүмүүстэй адил цалинтай гэсэн үг биш юм. Харин дунд боловсролтой хүний дундаж цалинг дээд боловсролтой хүний дундаж цалинтай харьцуулсан харьцаа нь Монгол ба АНУ-д ойролцоо байгааг илэрхийлнэ. Өөрөөр хэлбэл, Монголын дээд боловсролын байгууллагуудын дунд сургуулиас элсэж суралцсан хүндээ өгөх өгөөж, үр дүнгийн хувьд АНУ болон Европын орнуудын жишгээс дутахааргүй байна гэж дүгнэж болох юм.</w:t>
      </w:r>
      <w:r w:rsidRPr="00D34DCC">
        <w:rPr>
          <w:rFonts w:ascii="Times New Roman" w:hAnsi="Times New Roman" w:cs="Times New Roman"/>
          <w:sz w:val="24"/>
          <w:szCs w:val="24"/>
        </w:rPr>
        <w:t xml:space="preserve"> </w:t>
      </w:r>
      <w:r w:rsidRPr="00D34DCC">
        <w:rPr>
          <w:rFonts w:ascii="Times New Roman" w:hAnsi="Times New Roman" w:cs="Times New Roman"/>
          <w:sz w:val="24"/>
          <w:szCs w:val="24"/>
          <w:lang w:val="mn-MN"/>
        </w:rPr>
        <w:t xml:space="preserve">Нэмж хэлэхэд, улс орнуудын </w:t>
      </w:r>
      <w:proofErr w:type="spellStart"/>
      <w:r w:rsidRPr="00D34DCC">
        <w:rPr>
          <w:rFonts w:ascii="Times New Roman" w:hAnsi="Times New Roman" w:cs="Times New Roman"/>
          <w:sz w:val="24"/>
          <w:szCs w:val="24"/>
        </w:rPr>
        <w:t>дээд</w:t>
      </w:r>
      <w:proofErr w:type="spellEnd"/>
      <w:r w:rsidRPr="00D34DCC">
        <w:rPr>
          <w:rFonts w:ascii="Times New Roman" w:hAnsi="Times New Roman" w:cs="Times New Roman"/>
          <w:sz w:val="24"/>
          <w:szCs w:val="24"/>
        </w:rPr>
        <w:t xml:space="preserve"> </w:t>
      </w:r>
      <w:proofErr w:type="spellStart"/>
      <w:r w:rsidRPr="00D34DCC">
        <w:rPr>
          <w:rFonts w:ascii="Times New Roman" w:hAnsi="Times New Roman" w:cs="Times New Roman"/>
          <w:sz w:val="24"/>
          <w:szCs w:val="24"/>
        </w:rPr>
        <w:t>боловсролын</w:t>
      </w:r>
      <w:proofErr w:type="spellEnd"/>
      <w:r w:rsidRPr="00D34DCC">
        <w:rPr>
          <w:rFonts w:ascii="Times New Roman" w:hAnsi="Times New Roman" w:cs="Times New Roman"/>
          <w:sz w:val="24"/>
          <w:szCs w:val="24"/>
        </w:rPr>
        <w:t xml:space="preserve"> </w:t>
      </w:r>
      <w:proofErr w:type="spellStart"/>
      <w:r w:rsidRPr="00D34DCC">
        <w:rPr>
          <w:rFonts w:ascii="Times New Roman" w:hAnsi="Times New Roman" w:cs="Times New Roman"/>
          <w:sz w:val="24"/>
          <w:szCs w:val="24"/>
        </w:rPr>
        <w:t>өгөөж</w:t>
      </w:r>
      <w:proofErr w:type="spellEnd"/>
      <w:r w:rsidRPr="00D34DCC">
        <w:rPr>
          <w:rFonts w:ascii="Times New Roman" w:hAnsi="Times New Roman" w:cs="Times New Roman"/>
          <w:sz w:val="24"/>
          <w:szCs w:val="24"/>
          <w:lang w:val="mn-MN"/>
        </w:rPr>
        <w:t xml:space="preserve"> харилцан адилгүй байдаг. Үүнд олон хүчин зүйл нөлөөлж болно. Жишээлбэл, бидний доор тайлбарласанчлан, дээд сургуулийн боловсролын өгөөж нь нийт хамралтын тооноос хамааран хүчтэй буурч болно. </w:t>
      </w:r>
    </w:p>
    <w:p w14:paraId="2FCB386F" w14:textId="77777777" w:rsidR="00D34DCC" w:rsidRPr="00D34DCC" w:rsidRDefault="00D34DCC" w:rsidP="00D34DCC">
      <w:pPr>
        <w:jc w:val="both"/>
        <w:rPr>
          <w:rFonts w:ascii="Times New Roman" w:hAnsi="Times New Roman" w:cs="Times New Roman"/>
          <w:sz w:val="24"/>
          <w:szCs w:val="24"/>
          <w:lang w:val="mn-MN"/>
        </w:rPr>
      </w:pPr>
    </w:p>
    <w:p w14:paraId="2240CD6C" w14:textId="77777777" w:rsidR="00D34DCC" w:rsidRPr="00D34DCC" w:rsidRDefault="00D34DCC" w:rsidP="00D34DCC">
      <w:pPr>
        <w:jc w:val="both"/>
        <w:rPr>
          <w:rFonts w:ascii="Times New Roman" w:hAnsi="Times New Roman" w:cs="Times New Roman"/>
          <w:b/>
          <w:sz w:val="24"/>
          <w:szCs w:val="24"/>
          <w:lang w:val="mn-MN"/>
        </w:rPr>
      </w:pPr>
      <w:r w:rsidRPr="00D34DCC">
        <w:rPr>
          <w:rFonts w:ascii="Times New Roman" w:hAnsi="Times New Roman" w:cs="Times New Roman"/>
          <w:b/>
          <w:sz w:val="24"/>
          <w:szCs w:val="24"/>
          <w:lang w:val="mn-MN"/>
        </w:rPr>
        <w:t>Их дээд сургуульд сурах нь хэр сайн хөрөнгө оруулалт вэ?</w:t>
      </w:r>
    </w:p>
    <w:p w14:paraId="2B156C92"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 xml:space="preserve">Монголын их, дээд сургуулийн төгсөгчид дээд боловсролд оруулсан хөрөнгө оруулалтаа ямар хугацаанд нөхөх боломжтой вэ? Энэхүү асуултад хариулахын тулд дараах ойролцоо тооцоог хийж үзье. Уг хөрөнгө оруулалтын шууд зардал буюу сургалтын төлбөрийг жилд ойролцоогоор 2 сая төгрөг гэж үзье. Харин дээд боловсролын өгөөж болох дунд боловсролтой ажилтны дундаж цалингаас илүү гарах дундаж хэмжээ нь дээрх жишээнд сарын 200 мянган төгрөг буюу жилийн 2.4 сая төгрөг байна. Өөрөөр хэлбэл, их дээд сургуулийн төгсөгчид 4 жилийн сургалтын төлбөрийн зардлаа 3 жил гаруйн дотор цалингийн зөрүүгээрээ нөхөж байна. Гэхдээ энэ тооцоонд сурч байх үеийн алдагдсан боломжийн зардал болох хөдөлмөрийн орлогыг тооцоогүйг анхаарна уу. Хэрэв уг боломжийг тооцвол, 10 орчим жилийн дотор хөрөнгө оруулалтаа нөхөж болно гэсэн тооцоо гарна. Гэхдээ энэ нь харьцангуй хялбар тооцоо юм. Тухайн оюутан дээд сургуульд сурч байхдаа ажил эрхлэх боломжтой бол арай цөөн жил гарах нь ойлгомжтой. </w:t>
      </w:r>
    </w:p>
    <w:p w14:paraId="6FF2E9B0" w14:textId="77777777" w:rsidR="00D34DCC" w:rsidRPr="00D34DCC" w:rsidRDefault="00D34DCC" w:rsidP="00D34DCC">
      <w:pPr>
        <w:jc w:val="both"/>
        <w:rPr>
          <w:rFonts w:ascii="Times New Roman" w:hAnsi="Times New Roman" w:cs="Times New Roman"/>
          <w:sz w:val="24"/>
          <w:szCs w:val="24"/>
          <w:lang w:val="mn-MN"/>
        </w:rPr>
      </w:pPr>
    </w:p>
    <w:p w14:paraId="54FBFE2C" w14:textId="77777777" w:rsidR="00D34DCC" w:rsidRPr="00D34DCC" w:rsidRDefault="00D34DCC" w:rsidP="00D34DCC">
      <w:pPr>
        <w:jc w:val="both"/>
        <w:rPr>
          <w:rFonts w:ascii="Times New Roman" w:hAnsi="Times New Roman" w:cs="Times New Roman"/>
          <w:b/>
          <w:sz w:val="24"/>
          <w:szCs w:val="24"/>
          <w:lang w:val="mn-MN"/>
        </w:rPr>
      </w:pPr>
      <w:r w:rsidRPr="00D34DCC">
        <w:rPr>
          <w:rFonts w:ascii="Times New Roman" w:hAnsi="Times New Roman" w:cs="Times New Roman"/>
          <w:b/>
          <w:sz w:val="24"/>
          <w:szCs w:val="24"/>
          <w:lang w:val="mn-MN"/>
        </w:rPr>
        <w:t>Боловсролын өгөөж төгсөгчдийн тооноос хамаарах нь</w:t>
      </w:r>
    </w:p>
    <w:p w14:paraId="6252B3C7"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Их, дээд сургуульд элсэх оюутнуудын тоо өсөх тусам суурь чадвар багатай залуус илүү олноор хамрагдах магадлал өснө. Тэдгээр нэмж орсон оюутнууд дээд боловсролтой төгсөгчдийн дундаж цалинг хүчтэй доош татаж болно. Мөн, төгсөгчдийн тоо нэмэгдэхийн хэрээр хөдөлмөрийн зах зээл дээрх боловсролтой хүмүүсийн нийлүүлэлт нэмэгдэнэ.</w:t>
      </w:r>
    </w:p>
    <w:p w14:paraId="19C7B24F"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 xml:space="preserve">Энэ нөлөө манай улсад ихээхэн хамаатай байж болох юм. Нэг талаас, дээд боловсролын хамрагдалт сүүлийн жилүүдэд тасралтгүй өссөн. Үүнтэй холбоотойгоор дээд боловсролтой хүмүүсийн эзлэх хувь ахмад хүмүүсийн дунд бага, харин залуусын дунд харьцангуй өндөр </w:t>
      </w:r>
      <w:r w:rsidRPr="00D34DCC">
        <w:rPr>
          <w:rFonts w:ascii="Times New Roman" w:hAnsi="Times New Roman" w:cs="Times New Roman"/>
          <w:sz w:val="24"/>
          <w:szCs w:val="24"/>
          <w:lang w:val="mn-MN"/>
        </w:rPr>
        <w:lastRenderedPageBreak/>
        <w:t xml:space="preserve">болжээ. Нөгөө талаас, дээд боловсролын өгөөж нь ахмад болон залуу үеийнхний хооронд харьцангуй ялгаатай байна. Доорх хүснэгтэд үзүүлсэнчлэн, дээд боловсролын өгөөж нь 41-54 насны ахмад хүмүүсийн дунд 54% байхад 23-30 насны залуусын дунд 30% байна. </w:t>
      </w:r>
    </w:p>
    <w:p w14:paraId="1D105273" w14:textId="77777777" w:rsidR="00D34DCC" w:rsidRPr="00D34DCC" w:rsidRDefault="00D34DCC" w:rsidP="00D34DCC">
      <w:pPr>
        <w:jc w:val="both"/>
        <w:rPr>
          <w:rFonts w:ascii="Times New Roman" w:hAnsi="Times New Roman" w:cs="Times New Roman"/>
          <w:sz w:val="24"/>
          <w:szCs w:val="24"/>
          <w:lang w:val="mn-MN"/>
        </w:rPr>
      </w:pPr>
    </w:p>
    <w:p w14:paraId="1637BFC6" w14:textId="77777777" w:rsidR="00D34DCC" w:rsidRPr="00D34DCC" w:rsidRDefault="00D34DCC" w:rsidP="00D34DCC">
      <w:pPr>
        <w:pStyle w:val="Caption"/>
        <w:jc w:val="both"/>
        <w:rPr>
          <w:rFonts w:cs="Times New Roman"/>
          <w:b w:val="0"/>
          <w:sz w:val="24"/>
          <w:szCs w:val="24"/>
          <w:lang w:val="mn-MN"/>
        </w:rPr>
      </w:pPr>
      <w:bookmarkStart w:id="4" w:name="_Toc437220582"/>
      <w:r w:rsidRPr="00D34DCC">
        <w:rPr>
          <w:rFonts w:cs="Times New Roman"/>
          <w:b w:val="0"/>
          <w:sz w:val="24"/>
          <w:szCs w:val="24"/>
        </w:rPr>
        <w:t xml:space="preserve">ХҮСНЭГТ </w:t>
      </w:r>
      <w:r w:rsidRPr="00D34DCC">
        <w:rPr>
          <w:rFonts w:cs="Times New Roman"/>
          <w:b w:val="0"/>
          <w:sz w:val="24"/>
          <w:szCs w:val="24"/>
        </w:rPr>
        <w:fldChar w:fldCharType="begin"/>
      </w:r>
      <w:r w:rsidRPr="00D34DCC">
        <w:rPr>
          <w:rFonts w:cs="Times New Roman"/>
          <w:b w:val="0"/>
          <w:sz w:val="24"/>
          <w:szCs w:val="24"/>
        </w:rPr>
        <w:instrText xml:space="preserve"> SEQ Хүснэгт \* ARABIC </w:instrText>
      </w:r>
      <w:r w:rsidRPr="00D34DCC">
        <w:rPr>
          <w:rFonts w:cs="Times New Roman"/>
          <w:b w:val="0"/>
          <w:sz w:val="24"/>
          <w:szCs w:val="24"/>
        </w:rPr>
        <w:fldChar w:fldCharType="separate"/>
      </w:r>
      <w:r w:rsidRPr="00D34DCC">
        <w:rPr>
          <w:rFonts w:cs="Times New Roman"/>
          <w:b w:val="0"/>
          <w:noProof/>
          <w:sz w:val="24"/>
          <w:szCs w:val="24"/>
        </w:rPr>
        <w:t>2</w:t>
      </w:r>
      <w:r w:rsidRPr="00D34DCC">
        <w:rPr>
          <w:rFonts w:cs="Times New Roman"/>
          <w:b w:val="0"/>
          <w:sz w:val="24"/>
          <w:szCs w:val="24"/>
        </w:rPr>
        <w:fldChar w:fldCharType="end"/>
      </w:r>
      <w:r w:rsidRPr="00D34DCC">
        <w:rPr>
          <w:rFonts w:cs="Times New Roman"/>
          <w:b w:val="0"/>
          <w:sz w:val="24"/>
          <w:szCs w:val="24"/>
          <w:lang w:val="mn-MN"/>
        </w:rPr>
        <w:t>. ДЭЭД БОЛОВСРОЛЫН ӨГӨӨЖ, НАСНЫ БҮЛГЭЭР</w:t>
      </w:r>
      <w:bookmarkEnd w:id="4"/>
    </w:p>
    <w:tbl>
      <w:tblPr>
        <w:tblW w:w="7128" w:type="dxa"/>
        <w:jc w:val="center"/>
        <w:tblLook w:val="04A0" w:firstRow="1" w:lastRow="0" w:firstColumn="1" w:lastColumn="0" w:noHBand="0" w:noVBand="1"/>
      </w:tblPr>
      <w:tblGrid>
        <w:gridCol w:w="2808"/>
        <w:gridCol w:w="1530"/>
        <w:gridCol w:w="1440"/>
        <w:gridCol w:w="1350"/>
      </w:tblGrid>
      <w:tr w:rsidR="00D34DCC" w:rsidRPr="00D34DCC" w14:paraId="60ECEF0A" w14:textId="77777777" w:rsidTr="002C5A6C">
        <w:trPr>
          <w:trHeight w:val="351"/>
          <w:jc w:val="center"/>
        </w:trPr>
        <w:tc>
          <w:tcPr>
            <w:tcW w:w="2808" w:type="dxa"/>
            <w:tcBorders>
              <w:top w:val="single" w:sz="4" w:space="0" w:color="auto"/>
              <w:bottom w:val="single" w:sz="4" w:space="0" w:color="auto"/>
            </w:tcBorders>
          </w:tcPr>
          <w:p w14:paraId="73C4D908" w14:textId="77777777" w:rsidR="00D34DCC" w:rsidRPr="00D34DCC" w:rsidRDefault="00D34DCC" w:rsidP="002C5A6C">
            <w:pPr>
              <w:pStyle w:val="Caption"/>
              <w:spacing w:before="120" w:after="120"/>
              <w:jc w:val="both"/>
              <w:rPr>
                <w:rFonts w:cs="Times New Roman"/>
                <w:sz w:val="24"/>
                <w:szCs w:val="24"/>
                <w:lang w:val="mn-MN"/>
              </w:rPr>
            </w:pPr>
          </w:p>
        </w:tc>
        <w:tc>
          <w:tcPr>
            <w:tcW w:w="1530" w:type="dxa"/>
            <w:tcBorders>
              <w:top w:val="single" w:sz="4" w:space="0" w:color="auto"/>
              <w:bottom w:val="single" w:sz="4" w:space="0" w:color="auto"/>
            </w:tcBorders>
            <w:vAlign w:val="center"/>
          </w:tcPr>
          <w:p w14:paraId="61C6FA65" w14:textId="77777777" w:rsidR="00D34DCC" w:rsidRPr="00D34DCC" w:rsidRDefault="00D34DCC" w:rsidP="002C5A6C">
            <w:pPr>
              <w:pStyle w:val="Caption"/>
              <w:spacing w:before="120" w:after="120"/>
              <w:jc w:val="both"/>
              <w:rPr>
                <w:rFonts w:cs="Times New Roman"/>
                <w:sz w:val="24"/>
                <w:szCs w:val="24"/>
                <w:lang w:val="mn-MN"/>
              </w:rPr>
            </w:pPr>
            <w:r w:rsidRPr="00D34DCC">
              <w:rPr>
                <w:rFonts w:cs="Times New Roman"/>
                <w:sz w:val="24"/>
                <w:szCs w:val="24"/>
                <w:lang w:val="mn-MN"/>
              </w:rPr>
              <w:t>23-30 нас</w:t>
            </w:r>
          </w:p>
        </w:tc>
        <w:tc>
          <w:tcPr>
            <w:tcW w:w="1440" w:type="dxa"/>
            <w:tcBorders>
              <w:top w:val="single" w:sz="4" w:space="0" w:color="auto"/>
              <w:bottom w:val="single" w:sz="4" w:space="0" w:color="auto"/>
            </w:tcBorders>
            <w:vAlign w:val="center"/>
          </w:tcPr>
          <w:p w14:paraId="2980E383" w14:textId="77777777" w:rsidR="00D34DCC" w:rsidRPr="00D34DCC" w:rsidRDefault="00D34DCC" w:rsidP="002C5A6C">
            <w:pPr>
              <w:pStyle w:val="Caption"/>
              <w:spacing w:before="120" w:after="120"/>
              <w:jc w:val="both"/>
              <w:rPr>
                <w:rFonts w:cs="Times New Roman"/>
                <w:sz w:val="24"/>
                <w:szCs w:val="24"/>
                <w:lang w:val="mn-MN"/>
              </w:rPr>
            </w:pPr>
            <w:r w:rsidRPr="00D34DCC">
              <w:rPr>
                <w:rFonts w:cs="Times New Roman"/>
                <w:sz w:val="24"/>
                <w:szCs w:val="24"/>
                <w:lang w:val="mn-MN"/>
              </w:rPr>
              <w:t>31-40 нас</w:t>
            </w:r>
          </w:p>
        </w:tc>
        <w:tc>
          <w:tcPr>
            <w:tcW w:w="1350" w:type="dxa"/>
            <w:tcBorders>
              <w:top w:val="single" w:sz="4" w:space="0" w:color="auto"/>
              <w:bottom w:val="single" w:sz="4" w:space="0" w:color="auto"/>
            </w:tcBorders>
            <w:vAlign w:val="center"/>
          </w:tcPr>
          <w:p w14:paraId="50A4E4DE" w14:textId="77777777" w:rsidR="00D34DCC" w:rsidRPr="00D34DCC" w:rsidRDefault="00D34DCC" w:rsidP="002C5A6C">
            <w:pPr>
              <w:pStyle w:val="Caption"/>
              <w:spacing w:before="120" w:after="120"/>
              <w:jc w:val="both"/>
              <w:rPr>
                <w:rFonts w:cs="Times New Roman"/>
                <w:sz w:val="24"/>
                <w:szCs w:val="24"/>
                <w:lang w:val="mn-MN"/>
              </w:rPr>
            </w:pPr>
            <w:r w:rsidRPr="00D34DCC">
              <w:rPr>
                <w:rFonts w:cs="Times New Roman"/>
                <w:sz w:val="24"/>
                <w:szCs w:val="24"/>
                <w:lang w:val="mn-MN"/>
              </w:rPr>
              <w:t>41-54 нас</w:t>
            </w:r>
          </w:p>
        </w:tc>
      </w:tr>
      <w:tr w:rsidR="00D34DCC" w:rsidRPr="00D34DCC" w14:paraId="14A8A2ED" w14:textId="77777777" w:rsidTr="002C5A6C">
        <w:trPr>
          <w:jc w:val="center"/>
        </w:trPr>
        <w:tc>
          <w:tcPr>
            <w:tcW w:w="2808" w:type="dxa"/>
            <w:tcBorders>
              <w:top w:val="single" w:sz="4" w:space="0" w:color="auto"/>
            </w:tcBorders>
          </w:tcPr>
          <w:p w14:paraId="7C9B3D07" w14:textId="77777777" w:rsidR="00D34DCC" w:rsidRPr="00D34DCC" w:rsidRDefault="00D34DCC" w:rsidP="002C5A6C">
            <w:pPr>
              <w:pStyle w:val="Caption"/>
              <w:spacing w:before="120" w:after="120"/>
              <w:jc w:val="both"/>
              <w:rPr>
                <w:rFonts w:cs="Times New Roman"/>
                <w:sz w:val="24"/>
                <w:szCs w:val="24"/>
                <w:lang w:val="mn-MN"/>
              </w:rPr>
            </w:pPr>
            <w:r w:rsidRPr="00D34DCC">
              <w:rPr>
                <w:rFonts w:cs="Times New Roman"/>
                <w:sz w:val="24"/>
                <w:szCs w:val="24"/>
                <w:lang w:val="mn-MN"/>
              </w:rPr>
              <w:t>Дээд боловсролын өгөөж</w:t>
            </w:r>
          </w:p>
        </w:tc>
        <w:tc>
          <w:tcPr>
            <w:tcW w:w="1530" w:type="dxa"/>
            <w:tcBorders>
              <w:top w:val="single" w:sz="4" w:space="0" w:color="auto"/>
            </w:tcBorders>
            <w:vAlign w:val="center"/>
          </w:tcPr>
          <w:p w14:paraId="6A81330C" w14:textId="77777777" w:rsidR="00D34DCC" w:rsidRPr="00D34DCC" w:rsidRDefault="00D34DCC" w:rsidP="002C5A6C">
            <w:pPr>
              <w:pStyle w:val="Caption"/>
              <w:spacing w:before="120" w:after="120"/>
              <w:jc w:val="both"/>
              <w:rPr>
                <w:rFonts w:cs="Times New Roman"/>
                <w:b w:val="0"/>
                <w:sz w:val="24"/>
                <w:szCs w:val="24"/>
                <w:lang w:val="mn-MN"/>
              </w:rPr>
            </w:pPr>
            <w:r w:rsidRPr="00D34DCC">
              <w:rPr>
                <w:rFonts w:cs="Times New Roman"/>
                <w:b w:val="0"/>
                <w:sz w:val="24"/>
                <w:szCs w:val="24"/>
                <w:lang w:val="mn-MN"/>
              </w:rPr>
              <w:t>30%</w:t>
            </w:r>
          </w:p>
        </w:tc>
        <w:tc>
          <w:tcPr>
            <w:tcW w:w="1440" w:type="dxa"/>
            <w:tcBorders>
              <w:top w:val="single" w:sz="4" w:space="0" w:color="auto"/>
            </w:tcBorders>
            <w:vAlign w:val="center"/>
          </w:tcPr>
          <w:p w14:paraId="799036C9" w14:textId="77777777" w:rsidR="00D34DCC" w:rsidRPr="00D34DCC" w:rsidRDefault="00D34DCC" w:rsidP="002C5A6C">
            <w:pPr>
              <w:pStyle w:val="Caption"/>
              <w:spacing w:before="120" w:after="120"/>
              <w:jc w:val="both"/>
              <w:rPr>
                <w:rFonts w:cs="Times New Roman"/>
                <w:b w:val="0"/>
                <w:sz w:val="24"/>
                <w:szCs w:val="24"/>
                <w:lang w:val="mn-MN"/>
              </w:rPr>
            </w:pPr>
            <w:r w:rsidRPr="00D34DCC">
              <w:rPr>
                <w:rFonts w:cs="Times New Roman"/>
                <w:b w:val="0"/>
                <w:sz w:val="24"/>
                <w:szCs w:val="24"/>
                <w:lang w:val="mn-MN"/>
              </w:rPr>
              <w:t>40%</w:t>
            </w:r>
          </w:p>
        </w:tc>
        <w:tc>
          <w:tcPr>
            <w:tcW w:w="1350" w:type="dxa"/>
            <w:tcBorders>
              <w:top w:val="single" w:sz="4" w:space="0" w:color="auto"/>
            </w:tcBorders>
            <w:vAlign w:val="center"/>
          </w:tcPr>
          <w:p w14:paraId="2C92BEA6" w14:textId="77777777" w:rsidR="00D34DCC" w:rsidRPr="00D34DCC" w:rsidRDefault="00D34DCC" w:rsidP="002C5A6C">
            <w:pPr>
              <w:pStyle w:val="Caption"/>
              <w:spacing w:before="120" w:after="120"/>
              <w:jc w:val="both"/>
              <w:rPr>
                <w:rFonts w:cs="Times New Roman"/>
                <w:b w:val="0"/>
                <w:sz w:val="24"/>
                <w:szCs w:val="24"/>
                <w:lang w:val="mn-MN"/>
              </w:rPr>
            </w:pPr>
            <w:r w:rsidRPr="00D34DCC">
              <w:rPr>
                <w:rFonts w:cs="Times New Roman"/>
                <w:b w:val="0"/>
                <w:sz w:val="24"/>
                <w:szCs w:val="24"/>
                <w:lang w:val="mn-MN"/>
              </w:rPr>
              <w:t>54%</w:t>
            </w:r>
          </w:p>
        </w:tc>
      </w:tr>
      <w:tr w:rsidR="00D34DCC" w:rsidRPr="00D34DCC" w14:paraId="1D0D15C0" w14:textId="77777777" w:rsidTr="002C5A6C">
        <w:trPr>
          <w:jc w:val="center"/>
        </w:trPr>
        <w:tc>
          <w:tcPr>
            <w:tcW w:w="2808" w:type="dxa"/>
            <w:tcBorders>
              <w:bottom w:val="single" w:sz="4" w:space="0" w:color="auto"/>
            </w:tcBorders>
          </w:tcPr>
          <w:p w14:paraId="247F0F8D" w14:textId="77777777" w:rsidR="00D34DCC" w:rsidRPr="00D34DCC" w:rsidRDefault="00D34DCC" w:rsidP="002C5A6C">
            <w:pPr>
              <w:pStyle w:val="Caption"/>
              <w:spacing w:before="120" w:after="120"/>
              <w:jc w:val="both"/>
              <w:rPr>
                <w:rFonts w:cs="Times New Roman"/>
                <w:sz w:val="24"/>
                <w:szCs w:val="24"/>
                <w:lang w:val="mn-MN"/>
              </w:rPr>
            </w:pPr>
            <w:r w:rsidRPr="00D34DCC">
              <w:rPr>
                <w:rFonts w:cs="Times New Roman"/>
                <w:sz w:val="24"/>
                <w:szCs w:val="24"/>
                <w:lang w:val="mn-MN"/>
              </w:rPr>
              <w:t>Дээд боловсролтой хүмүүсийн эзлэх хувь</w:t>
            </w:r>
          </w:p>
        </w:tc>
        <w:tc>
          <w:tcPr>
            <w:tcW w:w="1530" w:type="dxa"/>
            <w:tcBorders>
              <w:bottom w:val="single" w:sz="4" w:space="0" w:color="auto"/>
            </w:tcBorders>
            <w:vAlign w:val="center"/>
          </w:tcPr>
          <w:p w14:paraId="39846991" w14:textId="77777777" w:rsidR="00D34DCC" w:rsidRPr="00D34DCC" w:rsidRDefault="00D34DCC" w:rsidP="002C5A6C">
            <w:pPr>
              <w:pStyle w:val="Caption"/>
              <w:spacing w:before="120" w:after="120"/>
              <w:jc w:val="both"/>
              <w:rPr>
                <w:rFonts w:cs="Times New Roman"/>
                <w:b w:val="0"/>
                <w:sz w:val="24"/>
                <w:szCs w:val="24"/>
                <w:lang w:val="mn-MN"/>
              </w:rPr>
            </w:pPr>
            <w:r w:rsidRPr="00D34DCC">
              <w:rPr>
                <w:rFonts w:cs="Times New Roman"/>
                <w:b w:val="0"/>
                <w:sz w:val="24"/>
                <w:szCs w:val="24"/>
                <w:lang w:val="mn-MN"/>
              </w:rPr>
              <w:t>37%</w:t>
            </w:r>
          </w:p>
        </w:tc>
        <w:tc>
          <w:tcPr>
            <w:tcW w:w="1440" w:type="dxa"/>
            <w:tcBorders>
              <w:bottom w:val="single" w:sz="4" w:space="0" w:color="auto"/>
            </w:tcBorders>
            <w:vAlign w:val="center"/>
          </w:tcPr>
          <w:p w14:paraId="27D2B53F" w14:textId="77777777" w:rsidR="00D34DCC" w:rsidRPr="00D34DCC" w:rsidRDefault="00D34DCC" w:rsidP="002C5A6C">
            <w:pPr>
              <w:pStyle w:val="Caption"/>
              <w:spacing w:before="120" w:after="120"/>
              <w:jc w:val="both"/>
              <w:rPr>
                <w:rFonts w:cs="Times New Roman"/>
                <w:b w:val="0"/>
                <w:sz w:val="24"/>
                <w:szCs w:val="24"/>
                <w:lang w:val="mn-MN"/>
              </w:rPr>
            </w:pPr>
            <w:r w:rsidRPr="00D34DCC">
              <w:rPr>
                <w:rFonts w:cs="Times New Roman"/>
                <w:b w:val="0"/>
                <w:sz w:val="24"/>
                <w:szCs w:val="24"/>
                <w:lang w:val="mn-MN"/>
              </w:rPr>
              <w:t>21%</w:t>
            </w:r>
          </w:p>
        </w:tc>
        <w:tc>
          <w:tcPr>
            <w:tcW w:w="1350" w:type="dxa"/>
            <w:tcBorders>
              <w:bottom w:val="single" w:sz="4" w:space="0" w:color="auto"/>
            </w:tcBorders>
            <w:vAlign w:val="center"/>
          </w:tcPr>
          <w:p w14:paraId="597FF5FF" w14:textId="77777777" w:rsidR="00D34DCC" w:rsidRPr="00D34DCC" w:rsidRDefault="00D34DCC" w:rsidP="002C5A6C">
            <w:pPr>
              <w:pStyle w:val="Caption"/>
              <w:spacing w:before="120" w:after="120"/>
              <w:jc w:val="both"/>
              <w:rPr>
                <w:rFonts w:cs="Times New Roman"/>
                <w:b w:val="0"/>
                <w:sz w:val="24"/>
                <w:szCs w:val="24"/>
                <w:lang w:val="mn-MN"/>
              </w:rPr>
            </w:pPr>
            <w:r w:rsidRPr="00D34DCC">
              <w:rPr>
                <w:rFonts w:cs="Times New Roman"/>
                <w:b w:val="0"/>
                <w:sz w:val="24"/>
                <w:szCs w:val="24"/>
                <w:lang w:val="mn-MN"/>
              </w:rPr>
              <w:t>17%</w:t>
            </w:r>
          </w:p>
        </w:tc>
      </w:tr>
      <w:tr w:rsidR="00D34DCC" w:rsidRPr="00D34DCC" w14:paraId="78A1BE8A" w14:textId="77777777" w:rsidTr="002C5A6C">
        <w:trPr>
          <w:jc w:val="center"/>
        </w:trPr>
        <w:tc>
          <w:tcPr>
            <w:tcW w:w="7128" w:type="dxa"/>
            <w:gridSpan w:val="4"/>
            <w:tcBorders>
              <w:top w:val="single" w:sz="4" w:space="0" w:color="auto"/>
            </w:tcBorders>
          </w:tcPr>
          <w:p w14:paraId="1A081FA0" w14:textId="77777777" w:rsidR="00D34DCC" w:rsidRPr="00D34DCC" w:rsidRDefault="00D34DCC" w:rsidP="002C5A6C">
            <w:pPr>
              <w:jc w:val="both"/>
              <w:rPr>
                <w:rFonts w:ascii="Times New Roman" w:eastAsia="Times New Roman" w:hAnsi="Times New Roman" w:cs="Times New Roman"/>
                <w:b/>
                <w:i/>
                <w:color w:val="000000"/>
                <w:sz w:val="24"/>
                <w:szCs w:val="24"/>
              </w:rPr>
            </w:pPr>
            <w:r w:rsidRPr="00D34DCC">
              <w:rPr>
                <w:rFonts w:ascii="Times New Roman" w:eastAsia="Times New Roman" w:hAnsi="Times New Roman" w:cs="Times New Roman"/>
                <w:b/>
                <w:i/>
                <w:color w:val="000000"/>
                <w:sz w:val="24"/>
                <w:szCs w:val="24"/>
              </w:rPr>
              <w:t>N = 13 594</w:t>
            </w:r>
          </w:p>
          <w:p w14:paraId="44B1EB6E" w14:textId="77777777" w:rsidR="00D34DCC" w:rsidRPr="00D34DCC" w:rsidRDefault="00D34DCC" w:rsidP="002C5A6C">
            <w:pPr>
              <w:pStyle w:val="Caption"/>
              <w:spacing w:before="120" w:after="120"/>
              <w:jc w:val="both"/>
              <w:rPr>
                <w:rFonts w:cs="Times New Roman"/>
                <w:sz w:val="24"/>
                <w:szCs w:val="24"/>
                <w:lang w:val="mn-MN"/>
              </w:rPr>
            </w:pPr>
            <w:r w:rsidRPr="00D34DCC">
              <w:rPr>
                <w:rFonts w:eastAsia="Times New Roman" w:cs="Times New Roman"/>
                <w:i/>
                <w:color w:val="000000"/>
                <w:sz w:val="24"/>
                <w:szCs w:val="24"/>
                <w:lang w:val="mn-MN"/>
              </w:rPr>
              <w:t>Тэмдэглэл</w:t>
            </w:r>
            <w:r w:rsidRPr="00D34DCC">
              <w:rPr>
                <w:rFonts w:eastAsia="Times New Roman" w:cs="Times New Roman"/>
                <w:color w:val="000000"/>
                <w:sz w:val="24"/>
                <w:szCs w:val="24"/>
                <w:lang w:val="mn-MN"/>
              </w:rPr>
              <w:t>: Бүх хувьсагч 99%-ийн итгэх түвшинд статистикийн хувьд ач холбогдолтой.</w:t>
            </w:r>
          </w:p>
        </w:tc>
      </w:tr>
    </w:tbl>
    <w:p w14:paraId="70179D54" w14:textId="77777777" w:rsidR="00D34DCC" w:rsidRPr="00D34DCC" w:rsidRDefault="00D34DCC" w:rsidP="00D34DCC">
      <w:pPr>
        <w:pStyle w:val="Caption"/>
        <w:jc w:val="both"/>
        <w:rPr>
          <w:rFonts w:cs="Times New Roman"/>
          <w:sz w:val="24"/>
          <w:szCs w:val="24"/>
          <w:lang w:val="mn-MN"/>
        </w:rPr>
      </w:pPr>
    </w:p>
    <w:p w14:paraId="54FBA09E"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 xml:space="preserve">Ойрын ирээдүйд залуучуудын их, дээд сургуульд элсэх хувь нэмэгдсэнээр дээд боловсролын өгөөж мэдэгдэхүйц буурч болно. Энэ бууралтыг дээд боловсролын чанар буурсантай шууд холбон тайлбарлаж болохгүй гэсэн санааг энд онцлон тэмдэглэж байна. Их, дээд сургуульд элсэгчдийн тоо өсөхийн хэрээр харьцангуйгаар чадвар багатай оюутнууд олноор их, дээд сургуульд элсэн суралцах ба ингэснээр дээд боловсролтой хүмүүсийн дундаж чанар буурах магадлалтай. Өөрөөр хэлбэл, их, дээд сургуульд элсэгчдийн ахиуц чанар чухал нөлөөтэй байж болно. Эдийн засгийн хэллэгээр бол, ахиуц </w:t>
      </w:r>
      <w:r w:rsidRPr="00D34DCC">
        <w:rPr>
          <w:rFonts w:ascii="Times New Roman" w:hAnsi="Times New Roman" w:cs="Times New Roman"/>
          <w:sz w:val="24"/>
          <w:szCs w:val="24"/>
        </w:rPr>
        <w:t xml:space="preserve">(marginal) </w:t>
      </w:r>
      <w:r w:rsidRPr="00D34DCC">
        <w:rPr>
          <w:rFonts w:ascii="Times New Roman" w:hAnsi="Times New Roman" w:cs="Times New Roman"/>
          <w:sz w:val="24"/>
          <w:szCs w:val="24"/>
          <w:lang w:val="mn-MN"/>
        </w:rPr>
        <w:t>хэмжигдэхүүний бууралт яваандаа нийт дунджаа бууруулна. Гэхдээ энэ бүхэн нь дунджийн тухай яриа бөгөөд төгсөгч бүрийн хувьд хөрөнгө оруулалтын өгөөж нь адилхан биш гэдгийг анхаарна уу. Тухайн төгсөгчийн суурь чадвараас гадна, сурсан сургууль, төгсөөд эрхэлж буй ажил зэргээс хамаараад ихээхэн ялгаа үүсэж болно. Энэ талын асуудлуудыг илүү тодруулахад панел судалгаа хэрэгтэй.</w:t>
      </w:r>
    </w:p>
    <w:p w14:paraId="544DA60A" w14:textId="77777777" w:rsidR="00D34DCC" w:rsidRPr="00D34DCC" w:rsidRDefault="00D34DCC" w:rsidP="00D34DCC">
      <w:pPr>
        <w:jc w:val="both"/>
        <w:rPr>
          <w:rFonts w:ascii="Times New Roman" w:hAnsi="Times New Roman" w:cs="Times New Roman"/>
          <w:sz w:val="24"/>
          <w:szCs w:val="24"/>
          <w:lang w:val="mn-MN"/>
        </w:rPr>
      </w:pPr>
    </w:p>
    <w:p w14:paraId="41E7A2E7"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b/>
          <w:sz w:val="24"/>
          <w:szCs w:val="24"/>
          <w:lang w:val="mn-MN"/>
        </w:rPr>
        <w:t xml:space="preserve">Эмэгтэйчүүдийн цалин </w:t>
      </w:r>
    </w:p>
    <w:p w14:paraId="6E614684"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 xml:space="preserve">Дээрх асуудалтай холбоотойгоор, их дээд сургуульд элсэгчдийн дунд нийгмийн аль нэг бүлэг давамгайлбал тэр бүлгийн дундаж өгөөж багасаж болно. Жишээлбэл, их, дээд сургуульд суралцагсдын дунд эмэгтэйчүүд давамгайлбал, эмэгтэйчүүдийн цалингийн дундаж нь эрэгтэйчүүдийнхээс доогуур байж болно. Үүнийг сайн ойлгохгүйгээр яг адилхан боловсролтой хүмүүст ижил цалин өгөх ёстой гэж шаардах нь эмэгтэйчүүдийнхээ нөхцөл </w:t>
      </w:r>
      <w:r w:rsidRPr="00D34DCC">
        <w:rPr>
          <w:rFonts w:ascii="Times New Roman" w:hAnsi="Times New Roman" w:cs="Times New Roman"/>
          <w:sz w:val="24"/>
          <w:szCs w:val="24"/>
          <w:lang w:val="mn-MN"/>
        </w:rPr>
        <w:lastRenderedPageBreak/>
        <w:t>байдлыг улам дордуулах эрсдэлтэй. Учир нь, ажил олгогчид ийм шаардлагад хариу үзүүлж, зарим эмэгтэйчүүдийг ажилд авахаас татгалзахад хүрнэ. Энэ нь эргээд эмэгтэйчүүдийн дунд ажилгүйдлийн эрсдэлийг нэмэгдүүлж болзошгүй.</w:t>
      </w:r>
    </w:p>
    <w:p w14:paraId="24DB248D" w14:textId="77777777" w:rsidR="00D34DCC" w:rsidRPr="00D34DCC" w:rsidRDefault="00D34DCC" w:rsidP="00D34DCC">
      <w:pPr>
        <w:jc w:val="both"/>
        <w:rPr>
          <w:rFonts w:ascii="Times New Roman" w:hAnsi="Times New Roman" w:cs="Times New Roman"/>
          <w:sz w:val="24"/>
          <w:szCs w:val="24"/>
          <w:lang w:val="mn-MN"/>
        </w:rPr>
      </w:pPr>
    </w:p>
    <w:p w14:paraId="0615EC99" w14:textId="77777777" w:rsidR="00D34DCC" w:rsidRPr="00D34DCC" w:rsidRDefault="00D34DCC" w:rsidP="00D34DCC">
      <w:pPr>
        <w:jc w:val="both"/>
        <w:rPr>
          <w:rFonts w:ascii="Times New Roman" w:hAnsi="Times New Roman" w:cs="Times New Roman"/>
          <w:b/>
          <w:sz w:val="24"/>
          <w:szCs w:val="24"/>
          <w:lang w:val="mn-MN"/>
        </w:rPr>
      </w:pPr>
      <w:r w:rsidRPr="00D34DCC">
        <w:rPr>
          <w:rFonts w:ascii="Times New Roman" w:hAnsi="Times New Roman" w:cs="Times New Roman"/>
          <w:b/>
          <w:sz w:val="24"/>
          <w:szCs w:val="24"/>
          <w:lang w:val="mn-MN"/>
        </w:rPr>
        <w:t>Хүйс, гэрлэлт</w:t>
      </w:r>
    </w:p>
    <w:p w14:paraId="122265FA"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 xml:space="preserve">Боловсролын өгөөжийг илүү нарийвчлалтай хэмжихийн тулд тухайн хүний хүйсийн нөлөөг давхар тооцох хэрэгтэй. Дээрх үнэлгээг цааш гүнзгийрүүлж, ажиллагсдын хүйс, гэрлэсэн байдлыг нэмж, харгалзах боловсролын өгөөжийг авч үзэхэд, дээд боловсролын өгөөж 45% болж нэмэгдэж байна. Өөрөөр хэлбэл, дээд боловсролтой хүмүүс нас чацуу, гэрлэлтийн байдал ижил, адил хүйсийн, бүрэн дунд боловсролтой хүмүүстэй харьцуулахад 45% илүү цалин авч байна. Эмэгтэйчүүдийн хувьд дээд боловсролын өгөөж бүр 50% хүрч байна. Энэ ч бас бусад улс орны тооноос ажиглагддаг зүй тогтол юм. Гэр бүлийн шалтгаанаас үүдэн боловсрол багатай эмэгтэйчүүдийн ажил эрхлэлт буурч, боловсрол ихтэй, давуу тал сайтай эмэгтэйчүүд хөдөлмөрийн зах зээл дээр өрсөлдөөд эхэлбэл ийм дүр зургийг хялбархан ажиглаж болно </w:t>
      </w:r>
      <w:sdt>
        <w:sdtPr>
          <w:rPr>
            <w:rFonts w:ascii="Times New Roman" w:hAnsi="Times New Roman" w:cs="Times New Roman"/>
            <w:sz w:val="24"/>
            <w:szCs w:val="24"/>
            <w:lang w:val="mn-MN"/>
          </w:rPr>
          <w:id w:val="-2049290032"/>
          <w:citation/>
        </w:sdtPr>
        <w:sdtContent>
          <w:r w:rsidRPr="00D34DCC">
            <w:rPr>
              <w:rFonts w:ascii="Times New Roman" w:hAnsi="Times New Roman" w:cs="Times New Roman"/>
              <w:sz w:val="24"/>
              <w:szCs w:val="24"/>
            </w:rPr>
            <w:fldChar w:fldCharType="begin"/>
          </w:r>
          <w:r w:rsidRPr="00D34DCC">
            <w:rPr>
              <w:rFonts w:ascii="Times New Roman" w:hAnsi="Times New Roman" w:cs="Times New Roman"/>
              <w:sz w:val="24"/>
              <w:szCs w:val="24"/>
            </w:rPr>
            <w:instrText xml:space="preserve"> CITATION Cla14 \l 1033 </w:instrText>
          </w:r>
          <w:r w:rsidRPr="00D34DCC">
            <w:rPr>
              <w:rFonts w:ascii="Times New Roman" w:hAnsi="Times New Roman" w:cs="Times New Roman"/>
              <w:sz w:val="24"/>
              <w:szCs w:val="24"/>
            </w:rPr>
            <w:fldChar w:fldCharType="separate"/>
          </w:r>
          <w:r w:rsidRPr="00D34DCC">
            <w:rPr>
              <w:rFonts w:ascii="Times New Roman" w:hAnsi="Times New Roman" w:cs="Times New Roman"/>
              <w:noProof/>
              <w:sz w:val="24"/>
              <w:szCs w:val="24"/>
            </w:rPr>
            <w:t>(Claudio &amp; Patrinos, 2014)</w:t>
          </w:r>
          <w:r w:rsidRPr="00D34DCC">
            <w:rPr>
              <w:rFonts w:ascii="Times New Roman" w:hAnsi="Times New Roman" w:cs="Times New Roman"/>
              <w:noProof/>
              <w:sz w:val="24"/>
              <w:szCs w:val="24"/>
            </w:rPr>
            <w:fldChar w:fldCharType="end"/>
          </w:r>
        </w:sdtContent>
      </w:sdt>
      <w:r w:rsidRPr="00D34DCC">
        <w:rPr>
          <w:rFonts w:ascii="Times New Roman" w:hAnsi="Times New Roman" w:cs="Times New Roman"/>
          <w:sz w:val="24"/>
          <w:szCs w:val="24"/>
          <w:lang w:val="mn-MN"/>
        </w:rPr>
        <w:t>.</w:t>
      </w:r>
    </w:p>
    <w:p w14:paraId="4CAEEABB"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Гэхдээ, дээрх үнэлгээнүүдээс харахад, бүх түвшний боловсрол эерэг үр өгөөжтэй байна. Нэг жил нэмж суралцахын өгөөж ойролцоогоор 10% гэж хэлж болох юм. Мөн гэрлэлт нь хүмүүсийн цалингийн түвшинтэй төдийлөн хамааралгүй байна. Харин хүйсийн хувьд эмэгтэйчүүд, ижил боловсролтой нас чацуу эрэгтэйчүүдээс 18% доогуур цалинтай байна. Эндээс эмэгтэйчүүд цалингийн ялгаварлалд өртөж байна гэж шууд дүгнэж болохгүй. Хүмүүсийн эрхэлж буй ажлын байрны шинж чанарыг нэмж харьцуулах шаардлагатай. Мөн, дээр хэлсэнчлэн, эмэгтэйчүүдийн ажиллах хүчний оролцоо, ажил эрхлэх шийдэл чухал үүрэгтэй.</w:t>
      </w:r>
    </w:p>
    <w:p w14:paraId="6D6FE9A3" w14:textId="77777777" w:rsidR="00D34DCC" w:rsidRPr="00D34DCC" w:rsidRDefault="00D34DCC" w:rsidP="00D34DCC">
      <w:pPr>
        <w:pStyle w:val="Heading1"/>
        <w:numPr>
          <w:ilvl w:val="0"/>
          <w:numId w:val="1"/>
        </w:numPr>
        <w:spacing w:after="360"/>
        <w:jc w:val="both"/>
        <w:rPr>
          <w:rFonts w:ascii="Times New Roman" w:hAnsi="Times New Roman" w:cs="Times New Roman"/>
          <w:sz w:val="24"/>
          <w:szCs w:val="24"/>
        </w:rPr>
      </w:pPr>
      <w:proofErr w:type="spellStart"/>
      <w:r w:rsidRPr="00D34DCC">
        <w:rPr>
          <w:rFonts w:ascii="Times New Roman" w:hAnsi="Times New Roman" w:cs="Times New Roman"/>
          <w:sz w:val="24"/>
          <w:szCs w:val="24"/>
        </w:rPr>
        <w:t>Бүс</w:t>
      </w:r>
      <w:proofErr w:type="spellEnd"/>
      <w:r w:rsidRPr="00D34DCC">
        <w:rPr>
          <w:rFonts w:ascii="Times New Roman" w:hAnsi="Times New Roman" w:cs="Times New Roman"/>
          <w:sz w:val="24"/>
          <w:szCs w:val="24"/>
          <w:lang w:val="mn-MN"/>
        </w:rPr>
        <w:t xml:space="preserve"> </w:t>
      </w:r>
      <w:proofErr w:type="spellStart"/>
      <w:r w:rsidRPr="00D34DCC">
        <w:rPr>
          <w:rFonts w:ascii="Times New Roman" w:hAnsi="Times New Roman" w:cs="Times New Roman"/>
          <w:sz w:val="24"/>
          <w:szCs w:val="24"/>
        </w:rPr>
        <w:t>нутаг</w:t>
      </w:r>
      <w:proofErr w:type="spellEnd"/>
      <w:r w:rsidRPr="00D34DCC">
        <w:rPr>
          <w:rFonts w:ascii="Times New Roman" w:hAnsi="Times New Roman" w:cs="Times New Roman"/>
          <w:sz w:val="24"/>
          <w:szCs w:val="24"/>
          <w:lang w:val="mn-MN"/>
        </w:rPr>
        <w:t>, нүүдэл</w:t>
      </w:r>
    </w:p>
    <w:p w14:paraId="79630D05" w14:textId="77777777" w:rsidR="00D34DCC" w:rsidRPr="00D34DCC" w:rsidRDefault="00D34DCC" w:rsidP="00D34DCC">
      <w:pPr>
        <w:jc w:val="both"/>
        <w:rPr>
          <w:rFonts w:ascii="Times New Roman" w:hAnsi="Times New Roman" w:cs="Times New Roman"/>
          <w:b/>
          <w:sz w:val="24"/>
          <w:szCs w:val="24"/>
          <w:lang w:val="mn-MN"/>
        </w:rPr>
      </w:pPr>
      <w:r w:rsidRPr="00D34DCC">
        <w:rPr>
          <w:rFonts w:ascii="Times New Roman" w:hAnsi="Times New Roman" w:cs="Times New Roman"/>
          <w:b/>
          <w:sz w:val="24"/>
          <w:szCs w:val="24"/>
          <w:lang w:val="mn-MN"/>
        </w:rPr>
        <w:t xml:space="preserve">Хот, хөдөөгийн ялгаа </w:t>
      </w:r>
    </w:p>
    <w:p w14:paraId="67F76DED"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 xml:space="preserve">Ажиллах хүчний судалгаанд хамрагдсан 16-54 насны иргэдийн боловсролын түвшин хот хөдөөд харилцан адилгүй байна </w:t>
      </w:r>
      <w:r w:rsidRPr="00D34DCC">
        <w:rPr>
          <w:rFonts w:ascii="Times New Roman" w:hAnsi="Times New Roman" w:cs="Times New Roman"/>
          <w:sz w:val="24"/>
          <w:szCs w:val="24"/>
        </w:rPr>
        <w:t>(</w:t>
      </w:r>
      <w:r w:rsidRPr="00D34DCC">
        <w:rPr>
          <w:rFonts w:ascii="Times New Roman" w:hAnsi="Times New Roman" w:cs="Times New Roman"/>
          <w:sz w:val="24"/>
          <w:szCs w:val="24"/>
          <w:lang w:val="mn-MN"/>
        </w:rPr>
        <w:t>Зураг 1</w:t>
      </w:r>
      <w:r w:rsidRPr="00D34DCC">
        <w:rPr>
          <w:rFonts w:ascii="Times New Roman" w:hAnsi="Times New Roman" w:cs="Times New Roman"/>
          <w:sz w:val="24"/>
          <w:szCs w:val="24"/>
        </w:rPr>
        <w:t>)</w:t>
      </w:r>
      <w:r w:rsidRPr="00D34DCC">
        <w:rPr>
          <w:rFonts w:ascii="Times New Roman" w:hAnsi="Times New Roman" w:cs="Times New Roman"/>
          <w:sz w:val="24"/>
          <w:szCs w:val="24"/>
          <w:lang w:val="mn-MN"/>
        </w:rPr>
        <w:t>. Зургаас харахад, нийслэлд амьдарч буй иргэдийн 34% нь бакалавраас дээш боловсролтой бол энэ тоо аймгийн төвд 24%, сумын төвд 19% байна.</w:t>
      </w:r>
    </w:p>
    <w:p w14:paraId="1A4119B5" w14:textId="77777777" w:rsidR="00D34DCC" w:rsidRPr="00D34DCC" w:rsidRDefault="00D34DCC" w:rsidP="00D34DCC">
      <w:pPr>
        <w:pStyle w:val="Caption"/>
        <w:spacing w:after="0"/>
        <w:jc w:val="both"/>
        <w:rPr>
          <w:rFonts w:cs="Times New Roman"/>
          <w:b w:val="0"/>
          <w:sz w:val="24"/>
          <w:szCs w:val="24"/>
          <w:lang w:val="mn-MN"/>
        </w:rPr>
      </w:pPr>
      <w:bookmarkStart w:id="5" w:name="_Toc437220579"/>
      <w:r w:rsidRPr="00D34DCC">
        <w:rPr>
          <w:rFonts w:cs="Times New Roman"/>
          <w:b w:val="0"/>
          <w:sz w:val="24"/>
          <w:szCs w:val="24"/>
        </w:rPr>
        <w:t>ЗУРАГ</w:t>
      </w:r>
      <w:r w:rsidRPr="00D34DCC">
        <w:rPr>
          <w:rFonts w:cs="Times New Roman"/>
          <w:b w:val="0"/>
          <w:sz w:val="24"/>
          <w:szCs w:val="24"/>
          <w:lang w:val="mn-MN"/>
        </w:rPr>
        <w:t xml:space="preserve"> </w:t>
      </w:r>
      <w:r w:rsidRPr="00D34DCC">
        <w:rPr>
          <w:rFonts w:cs="Times New Roman"/>
          <w:b w:val="0"/>
          <w:sz w:val="24"/>
          <w:szCs w:val="24"/>
        </w:rPr>
        <w:fldChar w:fldCharType="begin"/>
      </w:r>
      <w:r w:rsidRPr="00D34DCC">
        <w:rPr>
          <w:rFonts w:cs="Times New Roman"/>
          <w:b w:val="0"/>
          <w:sz w:val="24"/>
          <w:szCs w:val="24"/>
        </w:rPr>
        <w:instrText xml:space="preserve"> SEQ Зураг_ \* ARABIC </w:instrText>
      </w:r>
      <w:r w:rsidRPr="00D34DCC">
        <w:rPr>
          <w:rFonts w:cs="Times New Roman"/>
          <w:b w:val="0"/>
          <w:sz w:val="24"/>
          <w:szCs w:val="24"/>
        </w:rPr>
        <w:fldChar w:fldCharType="separate"/>
      </w:r>
      <w:r w:rsidRPr="00D34DCC">
        <w:rPr>
          <w:rFonts w:cs="Times New Roman"/>
          <w:b w:val="0"/>
          <w:noProof/>
          <w:sz w:val="24"/>
          <w:szCs w:val="24"/>
        </w:rPr>
        <w:t>1</w:t>
      </w:r>
      <w:r w:rsidRPr="00D34DCC">
        <w:rPr>
          <w:rFonts w:cs="Times New Roman"/>
          <w:b w:val="0"/>
          <w:noProof/>
          <w:sz w:val="24"/>
          <w:szCs w:val="24"/>
        </w:rPr>
        <w:fldChar w:fldCharType="end"/>
      </w:r>
      <w:r w:rsidRPr="00D34DCC">
        <w:rPr>
          <w:rFonts w:cs="Times New Roman"/>
          <w:b w:val="0"/>
          <w:sz w:val="24"/>
          <w:szCs w:val="24"/>
          <w:lang w:val="mn-MN"/>
        </w:rPr>
        <w:t>. БОЛОВСРОЛЫН ТҮВШН</w:t>
      </w:r>
      <w:bookmarkEnd w:id="5"/>
      <w:r w:rsidRPr="00D34DCC">
        <w:rPr>
          <w:rFonts w:cs="Times New Roman"/>
          <w:b w:val="0"/>
          <w:sz w:val="24"/>
          <w:szCs w:val="24"/>
          <w:lang w:val="mn-MN"/>
        </w:rPr>
        <w:t xml:space="preserve">ИЙ ХОТ ХӨДӨӨГИЙН ЯЛГАА, </w:t>
      </w:r>
    </w:p>
    <w:p w14:paraId="4E83EADA" w14:textId="77777777" w:rsidR="00D34DCC" w:rsidRPr="00D34DCC" w:rsidRDefault="00D34DCC" w:rsidP="00D34DCC">
      <w:pPr>
        <w:pStyle w:val="Caption"/>
        <w:spacing w:before="0"/>
        <w:jc w:val="both"/>
        <w:rPr>
          <w:rFonts w:cs="Times New Roman"/>
          <w:sz w:val="24"/>
          <w:szCs w:val="24"/>
        </w:rPr>
      </w:pPr>
      <w:r w:rsidRPr="00D34DCC">
        <w:rPr>
          <w:rFonts w:cs="Times New Roman"/>
          <w:b w:val="0"/>
          <w:sz w:val="24"/>
          <w:szCs w:val="24"/>
          <w:lang w:val="mn-MN"/>
        </w:rPr>
        <w:t>ДЭЭД БОЛОВСРОЛТОЙ ХҮМҮҮСИЙН ЭЗЛЭХ ХУВЬ</w:t>
      </w:r>
    </w:p>
    <w:p w14:paraId="35D58C94"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noProof/>
          <w:sz w:val="24"/>
          <w:szCs w:val="24"/>
        </w:rPr>
        <w:lastRenderedPageBreak/>
        <w:drawing>
          <wp:inline distT="0" distB="0" distL="0" distR="0" wp14:anchorId="69BBF865" wp14:editId="6B351EA5">
            <wp:extent cx="4454392" cy="1565979"/>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5C7EEC5F"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 xml:space="preserve">Боловсролын өгөөж нь боловсролын түвшнээс гадна бүс нутгаас хамаарч ихээхэн өөрчлөгддөг </w:t>
      </w:r>
      <w:sdt>
        <w:sdtPr>
          <w:rPr>
            <w:rFonts w:ascii="Times New Roman" w:hAnsi="Times New Roman" w:cs="Times New Roman"/>
            <w:sz w:val="24"/>
            <w:szCs w:val="24"/>
            <w:lang w:val="mn-MN"/>
          </w:rPr>
          <w:id w:val="130544776"/>
          <w:citation/>
        </w:sdtPr>
        <w:sdtContent>
          <w:r w:rsidRPr="00D34DCC">
            <w:rPr>
              <w:rFonts w:ascii="Times New Roman" w:hAnsi="Times New Roman" w:cs="Times New Roman"/>
              <w:sz w:val="24"/>
              <w:szCs w:val="24"/>
              <w:lang w:val="mn-MN"/>
            </w:rPr>
            <w:fldChar w:fldCharType="begin"/>
          </w:r>
          <w:r w:rsidRPr="00D34DCC">
            <w:rPr>
              <w:rFonts w:ascii="Times New Roman" w:hAnsi="Times New Roman" w:cs="Times New Roman"/>
              <w:sz w:val="24"/>
              <w:szCs w:val="24"/>
              <w:lang w:val="mn-MN"/>
            </w:rPr>
            <w:instrText xml:space="preserve"> CITATION Dah02 \l 1104 </w:instrText>
          </w:r>
          <w:r w:rsidRPr="00D34DCC">
            <w:rPr>
              <w:rFonts w:ascii="Times New Roman" w:hAnsi="Times New Roman" w:cs="Times New Roman"/>
              <w:sz w:val="24"/>
              <w:szCs w:val="24"/>
              <w:lang w:val="mn-MN"/>
            </w:rPr>
            <w:fldChar w:fldCharType="separate"/>
          </w:r>
          <w:r w:rsidRPr="00D34DCC">
            <w:rPr>
              <w:rFonts w:ascii="Times New Roman" w:hAnsi="Times New Roman" w:cs="Times New Roman"/>
              <w:noProof/>
              <w:sz w:val="24"/>
              <w:szCs w:val="24"/>
              <w:lang w:val="mn-MN"/>
            </w:rPr>
            <w:t>(Dahl, 2002)</w:t>
          </w:r>
          <w:r w:rsidRPr="00D34DCC">
            <w:rPr>
              <w:rFonts w:ascii="Times New Roman" w:hAnsi="Times New Roman" w:cs="Times New Roman"/>
              <w:sz w:val="24"/>
              <w:szCs w:val="24"/>
              <w:lang w:val="mn-MN"/>
            </w:rPr>
            <w:fldChar w:fldCharType="end"/>
          </w:r>
        </w:sdtContent>
      </w:sdt>
      <w:r w:rsidRPr="00D34DCC">
        <w:rPr>
          <w:rFonts w:ascii="Times New Roman" w:hAnsi="Times New Roman" w:cs="Times New Roman"/>
          <w:sz w:val="24"/>
          <w:szCs w:val="24"/>
          <w:lang w:val="mn-MN"/>
        </w:rPr>
        <w:t xml:space="preserve">. Энэхүү бүс нутгийн өгөөжийн ялгаа маш удаан үргэлжилдэг нь хүмүүсийн шилжилтээр хялбархан тайлбарлагддаг. </w:t>
      </w:r>
    </w:p>
    <w:p w14:paraId="0C3ED3DA"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Бидний судалгаагаар, хот ба хөдөөгийн ялгааг харгалзан үнэлэхэд, дээд боловсролын өгөөжийн зөрүү харьцангуй тогтвортой байна. Харин, нийслэлд, эсвэл аймгийн төвд, бүрэн дунд боловсролтой хүмүүс нас чацуу, адил хүйсийн, боловсрол багатай хүнээс 25% илүү цалинтай байна. Орон нутгийг нь харгалзахгүй бол өмнөх харьцуулалтаар энэ зөрүү 39% байсан билээ.</w:t>
      </w:r>
    </w:p>
    <w:p w14:paraId="615215C7" w14:textId="77777777" w:rsidR="00D34DCC" w:rsidRPr="00D34DCC" w:rsidRDefault="00D34DCC" w:rsidP="00D34DCC">
      <w:pPr>
        <w:jc w:val="both"/>
        <w:rPr>
          <w:rFonts w:ascii="Times New Roman" w:hAnsi="Times New Roman" w:cs="Times New Roman"/>
          <w:sz w:val="24"/>
          <w:szCs w:val="24"/>
          <w:lang w:val="mn-MN"/>
        </w:rPr>
      </w:pPr>
    </w:p>
    <w:p w14:paraId="251A6D5A" w14:textId="77777777" w:rsidR="00D34DCC" w:rsidRPr="00D34DCC" w:rsidRDefault="00D34DCC" w:rsidP="00D34DCC">
      <w:pPr>
        <w:pStyle w:val="Caption"/>
        <w:jc w:val="both"/>
        <w:rPr>
          <w:rFonts w:cs="Times New Roman"/>
          <w:b w:val="0"/>
          <w:sz w:val="24"/>
          <w:szCs w:val="24"/>
        </w:rPr>
      </w:pPr>
      <w:bookmarkStart w:id="6" w:name="_Toc437220571"/>
      <w:r w:rsidRPr="00D34DCC">
        <w:rPr>
          <w:rFonts w:cs="Times New Roman"/>
          <w:b w:val="0"/>
          <w:sz w:val="24"/>
          <w:szCs w:val="24"/>
        </w:rPr>
        <w:t xml:space="preserve">ХҮСНЭГТ </w:t>
      </w:r>
      <w:r w:rsidRPr="00D34DCC">
        <w:rPr>
          <w:rFonts w:cs="Times New Roman"/>
          <w:b w:val="0"/>
          <w:sz w:val="24"/>
          <w:szCs w:val="24"/>
        </w:rPr>
        <w:fldChar w:fldCharType="begin"/>
      </w:r>
      <w:r w:rsidRPr="00D34DCC">
        <w:rPr>
          <w:rFonts w:cs="Times New Roman"/>
          <w:b w:val="0"/>
          <w:sz w:val="24"/>
          <w:szCs w:val="24"/>
        </w:rPr>
        <w:instrText xml:space="preserve"> SEQ Хүснэгт \* ARABIC </w:instrText>
      </w:r>
      <w:r w:rsidRPr="00D34DCC">
        <w:rPr>
          <w:rFonts w:cs="Times New Roman"/>
          <w:b w:val="0"/>
          <w:sz w:val="24"/>
          <w:szCs w:val="24"/>
        </w:rPr>
        <w:fldChar w:fldCharType="separate"/>
      </w:r>
      <w:r w:rsidRPr="00D34DCC">
        <w:rPr>
          <w:rFonts w:cs="Times New Roman"/>
          <w:b w:val="0"/>
          <w:noProof/>
          <w:sz w:val="24"/>
          <w:szCs w:val="24"/>
        </w:rPr>
        <w:t>3</w:t>
      </w:r>
      <w:r w:rsidRPr="00D34DCC">
        <w:rPr>
          <w:rFonts w:cs="Times New Roman"/>
          <w:b w:val="0"/>
          <w:sz w:val="24"/>
          <w:szCs w:val="24"/>
        </w:rPr>
        <w:fldChar w:fldCharType="end"/>
      </w:r>
      <w:r w:rsidRPr="00D34DCC">
        <w:rPr>
          <w:rFonts w:cs="Times New Roman"/>
          <w:b w:val="0"/>
          <w:sz w:val="24"/>
          <w:szCs w:val="24"/>
        </w:rPr>
        <w:t>. ОРОН НУТГИЙН НӨЛӨӨГ ТООЦСОН БОЛОВСРОЛЫН ӨГӨӨЖ</w:t>
      </w:r>
      <w:bookmarkEnd w:id="6"/>
    </w:p>
    <w:tbl>
      <w:tblPr>
        <w:tblW w:w="0" w:type="auto"/>
        <w:jc w:val="center"/>
        <w:tblLook w:val="04A0" w:firstRow="1" w:lastRow="0" w:firstColumn="1" w:lastColumn="0" w:noHBand="0" w:noVBand="1"/>
      </w:tblPr>
      <w:tblGrid>
        <w:gridCol w:w="3510"/>
        <w:gridCol w:w="1080"/>
      </w:tblGrid>
      <w:tr w:rsidR="00D34DCC" w:rsidRPr="00D34DCC" w14:paraId="51280475" w14:textId="77777777" w:rsidTr="002C5A6C">
        <w:trPr>
          <w:trHeight w:val="521"/>
          <w:jc w:val="center"/>
        </w:trPr>
        <w:tc>
          <w:tcPr>
            <w:tcW w:w="3510" w:type="dxa"/>
            <w:tcBorders>
              <w:top w:val="single" w:sz="4" w:space="0" w:color="auto"/>
              <w:bottom w:val="single" w:sz="4" w:space="0" w:color="auto"/>
            </w:tcBorders>
            <w:vAlign w:val="center"/>
          </w:tcPr>
          <w:p w14:paraId="01E1EB6B" w14:textId="77777777" w:rsidR="00D34DCC" w:rsidRPr="00D34DCC" w:rsidRDefault="00D34DCC" w:rsidP="002C5A6C">
            <w:pPr>
              <w:jc w:val="both"/>
              <w:rPr>
                <w:rFonts w:ascii="Times New Roman" w:hAnsi="Times New Roman" w:cs="Times New Roman"/>
                <w:b/>
                <w:i/>
                <w:sz w:val="24"/>
                <w:szCs w:val="24"/>
                <w:lang w:val="mn-MN"/>
              </w:rPr>
            </w:pPr>
            <w:r w:rsidRPr="00D34DCC">
              <w:rPr>
                <w:rFonts w:ascii="Times New Roman" w:hAnsi="Times New Roman" w:cs="Times New Roman"/>
                <w:b/>
                <w:i/>
                <w:sz w:val="24"/>
                <w:szCs w:val="24"/>
                <w:lang w:val="mn-MN"/>
              </w:rPr>
              <w:t>Боловсролын түвшин</w:t>
            </w:r>
          </w:p>
        </w:tc>
        <w:tc>
          <w:tcPr>
            <w:tcW w:w="1080" w:type="dxa"/>
            <w:tcBorders>
              <w:top w:val="single" w:sz="4" w:space="0" w:color="auto"/>
              <w:bottom w:val="single" w:sz="4" w:space="0" w:color="auto"/>
            </w:tcBorders>
            <w:vAlign w:val="center"/>
          </w:tcPr>
          <w:p w14:paraId="5311138E" w14:textId="77777777" w:rsidR="00D34DCC" w:rsidRPr="00D34DCC" w:rsidRDefault="00D34DCC" w:rsidP="002C5A6C">
            <w:pPr>
              <w:jc w:val="both"/>
              <w:rPr>
                <w:rFonts w:ascii="Times New Roman" w:hAnsi="Times New Roman" w:cs="Times New Roman"/>
                <w:b/>
                <w:i/>
                <w:sz w:val="24"/>
                <w:szCs w:val="24"/>
                <w:lang w:val="mn-MN"/>
              </w:rPr>
            </w:pPr>
            <w:r w:rsidRPr="00D34DCC">
              <w:rPr>
                <w:rFonts w:ascii="Times New Roman" w:hAnsi="Times New Roman" w:cs="Times New Roman"/>
                <w:b/>
                <w:i/>
                <w:sz w:val="24"/>
                <w:szCs w:val="24"/>
                <w:lang w:val="mn-MN"/>
              </w:rPr>
              <w:t>Өгөөж</w:t>
            </w:r>
          </w:p>
        </w:tc>
      </w:tr>
      <w:tr w:rsidR="00D34DCC" w:rsidRPr="00D34DCC" w14:paraId="5005EF6A" w14:textId="77777777" w:rsidTr="002C5A6C">
        <w:trPr>
          <w:jc w:val="center"/>
        </w:trPr>
        <w:tc>
          <w:tcPr>
            <w:tcW w:w="3510" w:type="dxa"/>
            <w:tcBorders>
              <w:top w:val="single" w:sz="4" w:space="0" w:color="auto"/>
            </w:tcBorders>
          </w:tcPr>
          <w:p w14:paraId="073FCD21"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lang w:val="mn-MN"/>
              </w:rPr>
            </w:pPr>
            <w:r w:rsidRPr="00D34DCC">
              <w:rPr>
                <w:rFonts w:ascii="Times New Roman" w:eastAsia="Times New Roman" w:hAnsi="Times New Roman" w:cs="Times New Roman"/>
                <w:b/>
                <w:color w:val="000000"/>
                <w:sz w:val="24"/>
                <w:szCs w:val="24"/>
                <w:lang w:val="mn-MN"/>
              </w:rPr>
              <w:t>Бүрэн дундаас доош</w:t>
            </w:r>
          </w:p>
        </w:tc>
        <w:tc>
          <w:tcPr>
            <w:tcW w:w="1080" w:type="dxa"/>
            <w:tcBorders>
              <w:top w:val="single" w:sz="4" w:space="0" w:color="auto"/>
            </w:tcBorders>
            <w:vAlign w:val="bottom"/>
          </w:tcPr>
          <w:p w14:paraId="35AD2F8C"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-25%</w:t>
            </w:r>
          </w:p>
        </w:tc>
      </w:tr>
      <w:tr w:rsidR="00D34DCC" w:rsidRPr="00D34DCC" w14:paraId="338BDEFB" w14:textId="77777777" w:rsidTr="002C5A6C">
        <w:trPr>
          <w:jc w:val="center"/>
        </w:trPr>
        <w:tc>
          <w:tcPr>
            <w:tcW w:w="3510" w:type="dxa"/>
          </w:tcPr>
          <w:p w14:paraId="0EBEA262"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lang w:val="mn-MN"/>
              </w:rPr>
            </w:pPr>
            <w:r w:rsidRPr="00D34DCC">
              <w:rPr>
                <w:rFonts w:ascii="Times New Roman" w:eastAsia="Times New Roman" w:hAnsi="Times New Roman" w:cs="Times New Roman"/>
                <w:b/>
                <w:color w:val="000000"/>
                <w:sz w:val="24"/>
                <w:szCs w:val="24"/>
                <w:lang w:val="mn-MN"/>
              </w:rPr>
              <w:t>Бүрэн дунд</w:t>
            </w:r>
          </w:p>
        </w:tc>
        <w:tc>
          <w:tcPr>
            <w:tcW w:w="1080" w:type="dxa"/>
            <w:vAlign w:val="bottom"/>
          </w:tcPr>
          <w:p w14:paraId="42683A28"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0%</w:t>
            </w:r>
          </w:p>
        </w:tc>
      </w:tr>
      <w:tr w:rsidR="00D34DCC" w:rsidRPr="00D34DCC" w14:paraId="520068A2" w14:textId="77777777" w:rsidTr="002C5A6C">
        <w:trPr>
          <w:jc w:val="center"/>
        </w:trPr>
        <w:tc>
          <w:tcPr>
            <w:tcW w:w="3510" w:type="dxa"/>
          </w:tcPr>
          <w:p w14:paraId="17F623D8"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lang w:val="mn-MN"/>
              </w:rPr>
            </w:pPr>
            <w:r w:rsidRPr="00D34DCC">
              <w:rPr>
                <w:rFonts w:ascii="Times New Roman" w:eastAsia="Times New Roman" w:hAnsi="Times New Roman" w:cs="Times New Roman"/>
                <w:b/>
                <w:color w:val="000000"/>
                <w:sz w:val="24"/>
                <w:szCs w:val="24"/>
                <w:lang w:val="mn-MN"/>
              </w:rPr>
              <w:t>Техник мэргэжлийн дунд</w:t>
            </w:r>
          </w:p>
        </w:tc>
        <w:tc>
          <w:tcPr>
            <w:tcW w:w="1080" w:type="dxa"/>
            <w:vAlign w:val="bottom"/>
          </w:tcPr>
          <w:p w14:paraId="58C9D515"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10%</w:t>
            </w:r>
          </w:p>
        </w:tc>
      </w:tr>
      <w:tr w:rsidR="00D34DCC" w:rsidRPr="00D34DCC" w14:paraId="45F3040C" w14:textId="77777777" w:rsidTr="002C5A6C">
        <w:trPr>
          <w:jc w:val="center"/>
        </w:trPr>
        <w:tc>
          <w:tcPr>
            <w:tcW w:w="3510" w:type="dxa"/>
          </w:tcPr>
          <w:p w14:paraId="74BAFF2B"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lang w:val="mn-MN"/>
              </w:rPr>
            </w:pPr>
            <w:r w:rsidRPr="00D34DCC">
              <w:rPr>
                <w:rFonts w:ascii="Times New Roman" w:eastAsia="Times New Roman" w:hAnsi="Times New Roman" w:cs="Times New Roman"/>
                <w:b/>
                <w:color w:val="000000"/>
                <w:sz w:val="24"/>
                <w:szCs w:val="24"/>
                <w:lang w:val="mn-MN"/>
              </w:rPr>
              <w:t>Тусгай мэргэжлийн дунд</w:t>
            </w:r>
          </w:p>
        </w:tc>
        <w:tc>
          <w:tcPr>
            <w:tcW w:w="1080" w:type="dxa"/>
            <w:vAlign w:val="bottom"/>
          </w:tcPr>
          <w:p w14:paraId="44DBF92D"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21%</w:t>
            </w:r>
          </w:p>
        </w:tc>
      </w:tr>
      <w:tr w:rsidR="00D34DCC" w:rsidRPr="00D34DCC" w14:paraId="226BC4CD" w14:textId="77777777" w:rsidTr="002C5A6C">
        <w:trPr>
          <w:jc w:val="center"/>
        </w:trPr>
        <w:tc>
          <w:tcPr>
            <w:tcW w:w="3510" w:type="dxa"/>
          </w:tcPr>
          <w:p w14:paraId="16EF0BE4"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lang w:val="mn-MN"/>
              </w:rPr>
            </w:pPr>
            <w:r w:rsidRPr="00D34DCC">
              <w:rPr>
                <w:rFonts w:ascii="Times New Roman" w:eastAsia="Times New Roman" w:hAnsi="Times New Roman" w:cs="Times New Roman"/>
                <w:b/>
                <w:color w:val="000000"/>
                <w:sz w:val="24"/>
                <w:szCs w:val="24"/>
                <w:lang w:val="mn-MN"/>
              </w:rPr>
              <w:t>Дипломын дээд болон бакалавр</w:t>
            </w:r>
          </w:p>
        </w:tc>
        <w:tc>
          <w:tcPr>
            <w:tcW w:w="1080" w:type="dxa"/>
            <w:vAlign w:val="bottom"/>
          </w:tcPr>
          <w:p w14:paraId="6BA7E0E6"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40%</w:t>
            </w:r>
          </w:p>
        </w:tc>
      </w:tr>
      <w:tr w:rsidR="00D34DCC" w:rsidRPr="00D34DCC" w14:paraId="6D52BF16" w14:textId="77777777" w:rsidTr="002C5A6C">
        <w:trPr>
          <w:jc w:val="center"/>
        </w:trPr>
        <w:tc>
          <w:tcPr>
            <w:tcW w:w="3510" w:type="dxa"/>
            <w:tcBorders>
              <w:bottom w:val="single" w:sz="4" w:space="0" w:color="auto"/>
            </w:tcBorders>
          </w:tcPr>
          <w:p w14:paraId="1B69BFDF"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lang w:val="mn-MN"/>
              </w:rPr>
            </w:pPr>
            <w:r w:rsidRPr="00D34DCC">
              <w:rPr>
                <w:rFonts w:ascii="Times New Roman" w:eastAsia="Times New Roman" w:hAnsi="Times New Roman" w:cs="Times New Roman"/>
                <w:b/>
                <w:color w:val="000000"/>
                <w:sz w:val="24"/>
                <w:szCs w:val="24"/>
                <w:lang w:val="mn-MN"/>
              </w:rPr>
              <w:t xml:space="preserve">Дипломын дараах </w:t>
            </w:r>
          </w:p>
        </w:tc>
        <w:tc>
          <w:tcPr>
            <w:tcW w:w="1080" w:type="dxa"/>
            <w:tcBorders>
              <w:bottom w:val="single" w:sz="4" w:space="0" w:color="auto"/>
            </w:tcBorders>
            <w:vAlign w:val="bottom"/>
          </w:tcPr>
          <w:p w14:paraId="42F287DB"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48%</w:t>
            </w:r>
          </w:p>
        </w:tc>
      </w:tr>
      <w:tr w:rsidR="00D34DCC" w:rsidRPr="00D34DCC" w14:paraId="33F0D31D" w14:textId="77777777" w:rsidTr="002C5A6C">
        <w:trPr>
          <w:jc w:val="center"/>
        </w:trPr>
        <w:tc>
          <w:tcPr>
            <w:tcW w:w="4590" w:type="dxa"/>
            <w:gridSpan w:val="2"/>
            <w:tcBorders>
              <w:top w:val="single" w:sz="4" w:space="0" w:color="auto"/>
            </w:tcBorders>
          </w:tcPr>
          <w:p w14:paraId="1A79A9BA" w14:textId="77777777" w:rsidR="00D34DCC" w:rsidRPr="00D34DCC" w:rsidRDefault="00D34DCC" w:rsidP="002C5A6C">
            <w:pPr>
              <w:jc w:val="both"/>
              <w:rPr>
                <w:rFonts w:ascii="Times New Roman" w:eastAsia="Times New Roman" w:hAnsi="Times New Roman" w:cs="Times New Roman"/>
                <w:b/>
                <w:i/>
                <w:color w:val="000000"/>
                <w:sz w:val="24"/>
                <w:szCs w:val="24"/>
              </w:rPr>
            </w:pPr>
            <w:r w:rsidRPr="00D34DCC">
              <w:rPr>
                <w:rFonts w:ascii="Times New Roman" w:eastAsia="Times New Roman" w:hAnsi="Times New Roman" w:cs="Times New Roman"/>
                <w:b/>
                <w:i/>
                <w:color w:val="000000"/>
                <w:sz w:val="24"/>
                <w:szCs w:val="24"/>
              </w:rPr>
              <w:t>N = 13 504</w:t>
            </w:r>
          </w:p>
          <w:p w14:paraId="48710C47" w14:textId="77777777" w:rsidR="00D34DCC" w:rsidRPr="00D34DCC" w:rsidRDefault="00D34DCC" w:rsidP="002C5A6C">
            <w:pPr>
              <w:spacing w:before="60" w:after="60"/>
              <w:jc w:val="both"/>
              <w:rPr>
                <w:rFonts w:ascii="Times New Roman" w:hAnsi="Times New Roman" w:cs="Times New Roman"/>
                <w:b/>
                <w:color w:val="000000"/>
                <w:sz w:val="24"/>
                <w:szCs w:val="24"/>
              </w:rPr>
            </w:pPr>
            <w:r w:rsidRPr="00D34DCC">
              <w:rPr>
                <w:rFonts w:ascii="Times New Roman" w:eastAsia="Times New Roman" w:hAnsi="Times New Roman" w:cs="Times New Roman"/>
                <w:b/>
                <w:i/>
                <w:color w:val="000000"/>
                <w:sz w:val="24"/>
                <w:szCs w:val="24"/>
                <w:lang w:val="mn-MN"/>
              </w:rPr>
              <w:t>Тэмдэглэл</w:t>
            </w:r>
            <w:r w:rsidRPr="00D34DCC">
              <w:rPr>
                <w:rFonts w:ascii="Times New Roman" w:eastAsia="Times New Roman" w:hAnsi="Times New Roman" w:cs="Times New Roman"/>
                <w:b/>
                <w:color w:val="000000"/>
                <w:sz w:val="24"/>
                <w:szCs w:val="24"/>
                <w:lang w:val="mn-MN"/>
              </w:rPr>
              <w:t>: Бүх хувьсагч 99%-ийн итгэх түвшинд статистикийн хувьд ач холбогдолтой.</w:t>
            </w:r>
          </w:p>
        </w:tc>
      </w:tr>
    </w:tbl>
    <w:p w14:paraId="38DFD8C7" w14:textId="77777777" w:rsidR="00D34DCC" w:rsidRPr="00D34DCC" w:rsidRDefault="00D34DCC" w:rsidP="00D34DCC">
      <w:pPr>
        <w:jc w:val="both"/>
        <w:rPr>
          <w:rFonts w:ascii="Times New Roman" w:hAnsi="Times New Roman" w:cs="Times New Roman"/>
          <w:sz w:val="24"/>
          <w:szCs w:val="24"/>
          <w:lang w:val="mn-MN"/>
        </w:rPr>
      </w:pPr>
    </w:p>
    <w:p w14:paraId="7E8C0A94"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lastRenderedPageBreak/>
        <w:t xml:space="preserve">Дашрамд хэлэхэд, орон нутгийн нөлөөг давхар тооцсоноор энгийн шугаман регрессийн тайлбарлах чадвар дээшилж байна. </w:t>
      </w:r>
      <w:r w:rsidRPr="00D34DCC">
        <w:rPr>
          <w:rFonts w:ascii="Times New Roman" w:hAnsi="Times New Roman" w:cs="Times New Roman"/>
          <w:sz w:val="24"/>
          <w:szCs w:val="24"/>
        </w:rPr>
        <w:t>(R</w:t>
      </w:r>
      <w:r w:rsidRPr="00D34DCC">
        <w:rPr>
          <w:rFonts w:ascii="Times New Roman" w:hAnsi="Times New Roman" w:cs="Times New Roman"/>
          <w:sz w:val="24"/>
          <w:szCs w:val="24"/>
          <w:vertAlign w:val="superscript"/>
        </w:rPr>
        <w:t>2</w:t>
      </w:r>
      <w:r w:rsidRPr="00D34DCC">
        <w:rPr>
          <w:rFonts w:ascii="Times New Roman" w:hAnsi="Times New Roman" w:cs="Times New Roman"/>
          <w:sz w:val="24"/>
          <w:szCs w:val="24"/>
          <w:lang w:val="mn-MN"/>
        </w:rPr>
        <w:t xml:space="preserve"> үзүүлэлт 0.20 байснаа 0.26 болсон</w:t>
      </w:r>
      <w:r w:rsidRPr="00D34DCC">
        <w:rPr>
          <w:rFonts w:ascii="Times New Roman" w:hAnsi="Times New Roman" w:cs="Times New Roman"/>
          <w:sz w:val="24"/>
          <w:szCs w:val="24"/>
        </w:rPr>
        <w:t>)</w:t>
      </w:r>
      <w:r w:rsidRPr="00D34DCC">
        <w:rPr>
          <w:rFonts w:ascii="Times New Roman" w:hAnsi="Times New Roman" w:cs="Times New Roman"/>
          <w:sz w:val="24"/>
          <w:szCs w:val="24"/>
          <w:lang w:val="mn-MN"/>
        </w:rPr>
        <w:t xml:space="preserve"> Энэ нь хүмүүсийн цалинд хот, хөдөөгийн ялгаа хүчтэй нөлөөлж байгааг илэрхийлж байна.</w:t>
      </w:r>
    </w:p>
    <w:p w14:paraId="5D7ECA1F" w14:textId="77777777" w:rsidR="00D34DCC" w:rsidRPr="00D34DCC" w:rsidRDefault="00D34DCC" w:rsidP="00D34DCC">
      <w:pPr>
        <w:jc w:val="both"/>
        <w:rPr>
          <w:rFonts w:ascii="Times New Roman" w:hAnsi="Times New Roman" w:cs="Times New Roman"/>
          <w:sz w:val="24"/>
          <w:szCs w:val="24"/>
          <w:lang w:val="mn-MN"/>
        </w:rPr>
      </w:pPr>
    </w:p>
    <w:p w14:paraId="641CF8ED" w14:textId="77777777" w:rsidR="00D34DCC" w:rsidRPr="00D34DCC" w:rsidRDefault="00D34DCC" w:rsidP="00D34DCC">
      <w:pPr>
        <w:pStyle w:val="Caption"/>
        <w:jc w:val="both"/>
        <w:rPr>
          <w:rFonts w:cs="Times New Roman"/>
          <w:b w:val="0"/>
          <w:sz w:val="24"/>
          <w:szCs w:val="24"/>
          <w:lang w:val="mn-MN"/>
        </w:rPr>
      </w:pPr>
      <w:bookmarkStart w:id="7" w:name="_Toc437220572"/>
      <w:r w:rsidRPr="00D34DCC">
        <w:rPr>
          <w:rFonts w:cs="Times New Roman"/>
          <w:b w:val="0"/>
          <w:sz w:val="24"/>
          <w:szCs w:val="24"/>
        </w:rPr>
        <w:t>ХҮСНЭГТ</w:t>
      </w:r>
      <w:r w:rsidRPr="00D34DCC">
        <w:rPr>
          <w:rFonts w:cs="Times New Roman"/>
          <w:b w:val="0"/>
          <w:sz w:val="24"/>
          <w:szCs w:val="24"/>
          <w:lang w:val="mn-MN"/>
        </w:rPr>
        <w:t xml:space="preserve"> </w:t>
      </w:r>
      <w:r w:rsidRPr="00D34DCC">
        <w:rPr>
          <w:rFonts w:cs="Times New Roman"/>
          <w:b w:val="0"/>
          <w:sz w:val="24"/>
          <w:szCs w:val="24"/>
        </w:rPr>
        <w:fldChar w:fldCharType="begin"/>
      </w:r>
      <w:r w:rsidRPr="00D34DCC">
        <w:rPr>
          <w:rFonts w:cs="Times New Roman"/>
          <w:b w:val="0"/>
          <w:sz w:val="24"/>
          <w:szCs w:val="24"/>
        </w:rPr>
        <w:instrText xml:space="preserve"> SEQ Хүснэгт \* ARABIC </w:instrText>
      </w:r>
      <w:r w:rsidRPr="00D34DCC">
        <w:rPr>
          <w:rFonts w:cs="Times New Roman"/>
          <w:b w:val="0"/>
          <w:sz w:val="24"/>
          <w:szCs w:val="24"/>
        </w:rPr>
        <w:fldChar w:fldCharType="separate"/>
      </w:r>
      <w:r w:rsidRPr="00D34DCC">
        <w:rPr>
          <w:rFonts w:cs="Times New Roman"/>
          <w:b w:val="0"/>
          <w:noProof/>
          <w:sz w:val="24"/>
          <w:szCs w:val="24"/>
        </w:rPr>
        <w:t>4</w:t>
      </w:r>
      <w:r w:rsidRPr="00D34DCC">
        <w:rPr>
          <w:rFonts w:cs="Times New Roman"/>
          <w:b w:val="0"/>
          <w:noProof/>
          <w:sz w:val="24"/>
          <w:szCs w:val="24"/>
        </w:rPr>
        <w:fldChar w:fldCharType="end"/>
      </w:r>
      <w:r w:rsidRPr="00D34DCC">
        <w:rPr>
          <w:rFonts w:cs="Times New Roman"/>
          <w:b w:val="0"/>
          <w:sz w:val="24"/>
          <w:szCs w:val="24"/>
          <w:lang w:val="mn-MN"/>
        </w:rPr>
        <w:t>. ДУНДАЖ ЦАЛИН БА ОРОН НУТГИЙН ЯЛГАА, ХӨДӨӨТЭЙ ХАРЬЦУУЛСНААР</w:t>
      </w:r>
      <w:bookmarkEnd w:id="7"/>
    </w:p>
    <w:tbl>
      <w:tblPr>
        <w:tblW w:w="0" w:type="auto"/>
        <w:jc w:val="center"/>
        <w:tblLook w:val="04A0" w:firstRow="1" w:lastRow="0" w:firstColumn="1" w:lastColumn="0" w:noHBand="0" w:noVBand="1"/>
      </w:tblPr>
      <w:tblGrid>
        <w:gridCol w:w="1976"/>
        <w:gridCol w:w="1800"/>
      </w:tblGrid>
      <w:tr w:rsidR="00D34DCC" w:rsidRPr="00D34DCC" w14:paraId="33D39197" w14:textId="77777777" w:rsidTr="002C5A6C">
        <w:trPr>
          <w:trHeight w:val="431"/>
          <w:jc w:val="center"/>
        </w:trPr>
        <w:tc>
          <w:tcPr>
            <w:tcW w:w="1976" w:type="dxa"/>
            <w:tcBorders>
              <w:top w:val="single" w:sz="4" w:space="0" w:color="auto"/>
              <w:bottom w:val="single" w:sz="4" w:space="0" w:color="auto"/>
            </w:tcBorders>
            <w:vAlign w:val="center"/>
          </w:tcPr>
          <w:p w14:paraId="46868AFE" w14:textId="77777777" w:rsidR="00D34DCC" w:rsidRPr="00D34DCC" w:rsidRDefault="00D34DCC" w:rsidP="002C5A6C">
            <w:pPr>
              <w:jc w:val="both"/>
              <w:rPr>
                <w:rFonts w:ascii="Times New Roman" w:hAnsi="Times New Roman" w:cs="Times New Roman"/>
                <w:b/>
                <w:i/>
                <w:sz w:val="24"/>
                <w:szCs w:val="24"/>
                <w:lang w:val="mn-MN"/>
              </w:rPr>
            </w:pPr>
            <w:r w:rsidRPr="00D34DCC">
              <w:rPr>
                <w:rFonts w:ascii="Times New Roman" w:hAnsi="Times New Roman" w:cs="Times New Roman"/>
                <w:b/>
                <w:i/>
                <w:sz w:val="24"/>
                <w:szCs w:val="24"/>
                <w:lang w:val="mn-MN"/>
              </w:rPr>
              <w:t>Орон нутаг</w:t>
            </w:r>
          </w:p>
        </w:tc>
        <w:tc>
          <w:tcPr>
            <w:tcW w:w="1800" w:type="dxa"/>
            <w:tcBorders>
              <w:top w:val="single" w:sz="4" w:space="0" w:color="auto"/>
              <w:bottom w:val="single" w:sz="4" w:space="0" w:color="auto"/>
            </w:tcBorders>
            <w:vAlign w:val="center"/>
          </w:tcPr>
          <w:p w14:paraId="328F0585" w14:textId="77777777" w:rsidR="00D34DCC" w:rsidRPr="00D34DCC" w:rsidRDefault="00D34DCC" w:rsidP="002C5A6C">
            <w:pPr>
              <w:jc w:val="both"/>
              <w:rPr>
                <w:rFonts w:ascii="Times New Roman" w:hAnsi="Times New Roman" w:cs="Times New Roman"/>
                <w:b/>
                <w:i/>
                <w:sz w:val="24"/>
                <w:szCs w:val="24"/>
                <w:lang w:val="mn-MN"/>
              </w:rPr>
            </w:pPr>
            <w:r w:rsidRPr="00D34DCC">
              <w:rPr>
                <w:rFonts w:ascii="Times New Roman" w:hAnsi="Times New Roman" w:cs="Times New Roman"/>
                <w:b/>
                <w:i/>
                <w:sz w:val="24"/>
                <w:szCs w:val="24"/>
                <w:lang w:val="mn-MN"/>
              </w:rPr>
              <w:t>Цалингийн зөрүү</w:t>
            </w:r>
          </w:p>
        </w:tc>
      </w:tr>
      <w:tr w:rsidR="00D34DCC" w:rsidRPr="00D34DCC" w14:paraId="77D2D4E6" w14:textId="77777777" w:rsidTr="002C5A6C">
        <w:trPr>
          <w:jc w:val="center"/>
        </w:trPr>
        <w:tc>
          <w:tcPr>
            <w:tcW w:w="1976" w:type="dxa"/>
            <w:tcBorders>
              <w:top w:val="single" w:sz="4" w:space="0" w:color="auto"/>
            </w:tcBorders>
          </w:tcPr>
          <w:p w14:paraId="56851244"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lang w:val="mn-MN"/>
              </w:rPr>
            </w:pPr>
            <w:r w:rsidRPr="00D34DCC">
              <w:rPr>
                <w:rFonts w:ascii="Times New Roman" w:eastAsia="Times New Roman" w:hAnsi="Times New Roman" w:cs="Times New Roman"/>
                <w:b/>
                <w:color w:val="000000"/>
                <w:sz w:val="24"/>
                <w:szCs w:val="24"/>
                <w:lang w:val="mn-MN"/>
              </w:rPr>
              <w:t>Хөдөө</w:t>
            </w:r>
          </w:p>
        </w:tc>
        <w:tc>
          <w:tcPr>
            <w:tcW w:w="1800" w:type="dxa"/>
            <w:tcBorders>
              <w:top w:val="single" w:sz="4" w:space="0" w:color="auto"/>
            </w:tcBorders>
            <w:vAlign w:val="bottom"/>
          </w:tcPr>
          <w:p w14:paraId="4A1A8E53" w14:textId="77777777" w:rsidR="00D34DCC" w:rsidRPr="00D34DCC" w:rsidRDefault="00D34DCC" w:rsidP="002C5A6C">
            <w:pPr>
              <w:spacing w:before="60" w:after="60"/>
              <w:jc w:val="both"/>
              <w:rPr>
                <w:rFonts w:ascii="Times New Roman" w:hAnsi="Times New Roman" w:cs="Times New Roman"/>
                <w:color w:val="000000"/>
                <w:sz w:val="24"/>
                <w:szCs w:val="24"/>
                <w:lang w:val="mn-MN"/>
              </w:rPr>
            </w:pPr>
            <w:r w:rsidRPr="00D34DCC">
              <w:rPr>
                <w:rFonts w:ascii="Times New Roman" w:hAnsi="Times New Roman" w:cs="Times New Roman"/>
                <w:color w:val="000000"/>
                <w:sz w:val="24"/>
                <w:szCs w:val="24"/>
                <w:lang w:val="mn-MN"/>
              </w:rPr>
              <w:t>0%</w:t>
            </w:r>
          </w:p>
        </w:tc>
      </w:tr>
      <w:tr w:rsidR="00D34DCC" w:rsidRPr="00D34DCC" w14:paraId="0A85ADA1" w14:textId="77777777" w:rsidTr="002C5A6C">
        <w:trPr>
          <w:jc w:val="center"/>
        </w:trPr>
        <w:tc>
          <w:tcPr>
            <w:tcW w:w="1976" w:type="dxa"/>
          </w:tcPr>
          <w:p w14:paraId="6E3E7815" w14:textId="77777777" w:rsidR="00D34DCC" w:rsidRPr="00D34DCC" w:rsidRDefault="00D34DCC" w:rsidP="002C5A6C">
            <w:pPr>
              <w:spacing w:before="60" w:after="60"/>
              <w:jc w:val="both"/>
              <w:rPr>
                <w:rFonts w:ascii="Times New Roman" w:eastAsia="Times New Roman" w:hAnsi="Times New Roman" w:cs="Times New Roman"/>
                <w:color w:val="000000"/>
                <w:sz w:val="24"/>
                <w:szCs w:val="24"/>
                <w:lang w:val="mn-MN"/>
              </w:rPr>
            </w:pPr>
            <w:r w:rsidRPr="00D34DCC">
              <w:rPr>
                <w:rFonts w:ascii="Times New Roman" w:eastAsia="Times New Roman" w:hAnsi="Times New Roman" w:cs="Times New Roman"/>
                <w:b/>
                <w:color w:val="000000"/>
                <w:sz w:val="24"/>
                <w:szCs w:val="24"/>
                <w:lang w:val="mn-MN"/>
              </w:rPr>
              <w:t>Сумын төв</w:t>
            </w:r>
          </w:p>
        </w:tc>
        <w:tc>
          <w:tcPr>
            <w:tcW w:w="1800" w:type="dxa"/>
            <w:vAlign w:val="bottom"/>
          </w:tcPr>
          <w:p w14:paraId="6D91B97C"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1</w:t>
            </w:r>
            <w:r w:rsidRPr="00D34DCC">
              <w:rPr>
                <w:rFonts w:ascii="Times New Roman" w:hAnsi="Times New Roman" w:cs="Times New Roman"/>
                <w:color w:val="000000"/>
                <w:sz w:val="24"/>
                <w:szCs w:val="24"/>
                <w:lang w:val="mn-MN"/>
              </w:rPr>
              <w:t>6</w:t>
            </w:r>
            <w:r w:rsidRPr="00D34DCC">
              <w:rPr>
                <w:rFonts w:ascii="Times New Roman" w:hAnsi="Times New Roman" w:cs="Times New Roman"/>
                <w:color w:val="000000"/>
                <w:sz w:val="24"/>
                <w:szCs w:val="24"/>
              </w:rPr>
              <w:t>%</w:t>
            </w:r>
          </w:p>
        </w:tc>
      </w:tr>
      <w:tr w:rsidR="00D34DCC" w:rsidRPr="00D34DCC" w14:paraId="45F2EB49" w14:textId="77777777" w:rsidTr="002C5A6C">
        <w:trPr>
          <w:jc w:val="center"/>
        </w:trPr>
        <w:tc>
          <w:tcPr>
            <w:tcW w:w="1976" w:type="dxa"/>
          </w:tcPr>
          <w:p w14:paraId="4562BC66"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lang w:val="mn-MN"/>
              </w:rPr>
            </w:pPr>
            <w:r w:rsidRPr="00D34DCC">
              <w:rPr>
                <w:rFonts w:ascii="Times New Roman" w:eastAsia="Times New Roman" w:hAnsi="Times New Roman" w:cs="Times New Roman"/>
                <w:b/>
                <w:color w:val="000000"/>
                <w:sz w:val="24"/>
                <w:szCs w:val="24"/>
                <w:lang w:val="mn-MN"/>
              </w:rPr>
              <w:t>Аймгийн төв</w:t>
            </w:r>
          </w:p>
        </w:tc>
        <w:tc>
          <w:tcPr>
            <w:tcW w:w="1800" w:type="dxa"/>
            <w:vAlign w:val="bottom"/>
          </w:tcPr>
          <w:p w14:paraId="77E276C2"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2</w:t>
            </w:r>
            <w:r w:rsidRPr="00D34DCC">
              <w:rPr>
                <w:rFonts w:ascii="Times New Roman" w:hAnsi="Times New Roman" w:cs="Times New Roman"/>
                <w:color w:val="000000"/>
                <w:sz w:val="24"/>
                <w:szCs w:val="24"/>
                <w:lang w:val="mn-MN"/>
              </w:rPr>
              <w:t>8</w:t>
            </w:r>
            <w:r w:rsidRPr="00D34DCC">
              <w:rPr>
                <w:rFonts w:ascii="Times New Roman" w:hAnsi="Times New Roman" w:cs="Times New Roman"/>
                <w:color w:val="000000"/>
                <w:sz w:val="24"/>
                <w:szCs w:val="24"/>
              </w:rPr>
              <w:t>%</w:t>
            </w:r>
          </w:p>
        </w:tc>
      </w:tr>
      <w:tr w:rsidR="00D34DCC" w:rsidRPr="00D34DCC" w14:paraId="082DBA4B" w14:textId="77777777" w:rsidTr="002C5A6C">
        <w:trPr>
          <w:jc w:val="center"/>
        </w:trPr>
        <w:tc>
          <w:tcPr>
            <w:tcW w:w="1976" w:type="dxa"/>
            <w:tcBorders>
              <w:bottom w:val="single" w:sz="4" w:space="0" w:color="auto"/>
            </w:tcBorders>
          </w:tcPr>
          <w:p w14:paraId="13391E46"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lang w:val="mn-MN"/>
              </w:rPr>
            </w:pPr>
            <w:r w:rsidRPr="00D34DCC">
              <w:rPr>
                <w:rFonts w:ascii="Times New Roman" w:eastAsia="Times New Roman" w:hAnsi="Times New Roman" w:cs="Times New Roman"/>
                <w:b/>
                <w:color w:val="000000"/>
                <w:sz w:val="24"/>
                <w:szCs w:val="24"/>
                <w:lang w:val="mn-MN"/>
              </w:rPr>
              <w:t>Улаанбаатар</w:t>
            </w:r>
          </w:p>
        </w:tc>
        <w:tc>
          <w:tcPr>
            <w:tcW w:w="1800" w:type="dxa"/>
            <w:tcBorders>
              <w:bottom w:val="single" w:sz="4" w:space="0" w:color="auto"/>
            </w:tcBorders>
            <w:vAlign w:val="bottom"/>
          </w:tcPr>
          <w:p w14:paraId="114B133D"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4</w:t>
            </w:r>
            <w:r w:rsidRPr="00D34DCC">
              <w:rPr>
                <w:rFonts w:ascii="Times New Roman" w:hAnsi="Times New Roman" w:cs="Times New Roman"/>
                <w:color w:val="000000"/>
                <w:sz w:val="24"/>
                <w:szCs w:val="24"/>
                <w:lang w:val="mn-MN"/>
              </w:rPr>
              <w:t>9</w:t>
            </w:r>
            <w:r w:rsidRPr="00D34DCC">
              <w:rPr>
                <w:rFonts w:ascii="Times New Roman" w:hAnsi="Times New Roman" w:cs="Times New Roman"/>
                <w:color w:val="000000"/>
                <w:sz w:val="24"/>
                <w:szCs w:val="24"/>
              </w:rPr>
              <w:t>%</w:t>
            </w:r>
          </w:p>
        </w:tc>
      </w:tr>
      <w:tr w:rsidR="00D34DCC" w:rsidRPr="00D34DCC" w14:paraId="76269431" w14:textId="77777777" w:rsidTr="002C5A6C">
        <w:trPr>
          <w:jc w:val="center"/>
        </w:trPr>
        <w:tc>
          <w:tcPr>
            <w:tcW w:w="3776" w:type="dxa"/>
            <w:gridSpan w:val="2"/>
            <w:tcBorders>
              <w:top w:val="single" w:sz="4" w:space="0" w:color="auto"/>
            </w:tcBorders>
          </w:tcPr>
          <w:p w14:paraId="5D508C63" w14:textId="77777777" w:rsidR="00D34DCC" w:rsidRPr="00D34DCC" w:rsidRDefault="00D34DCC" w:rsidP="002C5A6C">
            <w:pPr>
              <w:jc w:val="both"/>
              <w:rPr>
                <w:rFonts w:ascii="Times New Roman" w:eastAsia="Times New Roman" w:hAnsi="Times New Roman" w:cs="Times New Roman"/>
                <w:b/>
                <w:color w:val="000000"/>
                <w:sz w:val="24"/>
                <w:szCs w:val="24"/>
                <w:lang w:val="mn-MN"/>
              </w:rPr>
            </w:pPr>
            <w:r w:rsidRPr="00D34DCC">
              <w:rPr>
                <w:rFonts w:ascii="Times New Roman" w:eastAsia="Times New Roman" w:hAnsi="Times New Roman" w:cs="Times New Roman"/>
                <w:b/>
                <w:i/>
                <w:color w:val="000000"/>
                <w:sz w:val="24"/>
                <w:szCs w:val="24"/>
                <w:lang w:val="mn-MN"/>
              </w:rPr>
              <w:t xml:space="preserve">Тэмдэглэл: </w:t>
            </w:r>
            <w:r w:rsidRPr="00D34DCC">
              <w:rPr>
                <w:rFonts w:ascii="Times New Roman" w:eastAsia="Times New Roman" w:hAnsi="Times New Roman" w:cs="Times New Roman"/>
                <w:b/>
                <w:color w:val="000000"/>
                <w:sz w:val="24"/>
                <w:szCs w:val="24"/>
                <w:lang w:val="mn-MN"/>
              </w:rPr>
              <w:t>Энэ хүснэгт тухайн хүн ижил боловсролтой, нас чацуу, адил хүйсийн, хөдөө амьдарч буй хүнтэй харьцуулахад цалин нь дунджаар хэдэн хувь зөрүүтэй байхыг харуулна. Бүх хувьсагч 99%-ийн итгэх түвшинд статистикийн хувьд ач холбогдолтой.</w:t>
            </w:r>
          </w:p>
        </w:tc>
      </w:tr>
    </w:tbl>
    <w:p w14:paraId="41102106" w14:textId="77777777" w:rsidR="00D34DCC" w:rsidRPr="00D34DCC" w:rsidRDefault="00D34DCC" w:rsidP="00D34DCC">
      <w:pPr>
        <w:jc w:val="both"/>
        <w:rPr>
          <w:rFonts w:ascii="Times New Roman" w:hAnsi="Times New Roman" w:cs="Times New Roman"/>
          <w:sz w:val="24"/>
          <w:szCs w:val="24"/>
          <w:lang w:val="mn-MN"/>
        </w:rPr>
      </w:pPr>
    </w:p>
    <w:p w14:paraId="22CFBB5F"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Энэ үр дүнгээс үзэхэд, ерөнхийдөө, хот ба хөдөөгийн хооронд цалингийн ялгаа их байна. Цалингийн зөрүүнээс шалтгаалан нийслэлд бүтээмж харьцангуй өндөртэй хүмүүс төвлөрөх хандлагатай. Үүнтэй холбоотойгоор, дээд боловсрол ба шилжилт хөдөлгөөний хамаарлыг тодруулах шаардлагатай.</w:t>
      </w:r>
    </w:p>
    <w:p w14:paraId="1653FD56"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 xml:space="preserve">Доорх хүснэгтээс харахад, ижил түвшний боловсролтой, нас чацуу, адил хүйсийн хүмүүсийн дундаж цалингийн хооронд хот, хөдөөгөөс хамаарсан маш их ялгаа байдаг ажээ. Тухайлбал, боловсролын түвшин өсөхийн хэрээр дундаж цалин нэмэгдэхийн зэрэгцээ хөдөөнөөс том хот руу шилжихэд дундаж цалин эрс нэмэгдэж байна. </w:t>
      </w:r>
    </w:p>
    <w:p w14:paraId="2F2A8D35" w14:textId="77777777" w:rsidR="00D34DCC" w:rsidRPr="00D34DCC" w:rsidRDefault="00D34DCC" w:rsidP="00D34DCC">
      <w:pPr>
        <w:jc w:val="both"/>
        <w:rPr>
          <w:rFonts w:ascii="Times New Roman" w:hAnsi="Times New Roman" w:cs="Times New Roman"/>
          <w:sz w:val="24"/>
          <w:szCs w:val="24"/>
          <w:lang w:val="mn-MN"/>
        </w:rPr>
      </w:pPr>
    </w:p>
    <w:p w14:paraId="0E77F03E" w14:textId="77777777" w:rsidR="00D34DCC" w:rsidRPr="00D34DCC" w:rsidRDefault="00D34DCC" w:rsidP="00D34DCC">
      <w:pPr>
        <w:pStyle w:val="Caption"/>
        <w:ind w:left="1350" w:hanging="1350"/>
        <w:jc w:val="both"/>
        <w:rPr>
          <w:rFonts w:cs="Times New Roman"/>
          <w:b w:val="0"/>
          <w:sz w:val="24"/>
          <w:szCs w:val="24"/>
          <w:lang w:val="mn-MN"/>
        </w:rPr>
      </w:pPr>
      <w:bookmarkStart w:id="8" w:name="_Toc437220573"/>
      <w:r w:rsidRPr="00D34DCC">
        <w:rPr>
          <w:rFonts w:cs="Times New Roman"/>
          <w:b w:val="0"/>
          <w:sz w:val="24"/>
          <w:szCs w:val="24"/>
        </w:rPr>
        <w:t>ХҮСНЭГТ</w:t>
      </w:r>
      <w:r w:rsidRPr="00D34DCC">
        <w:rPr>
          <w:rFonts w:cs="Times New Roman"/>
          <w:b w:val="0"/>
          <w:sz w:val="24"/>
          <w:szCs w:val="24"/>
          <w:lang w:val="mn-MN"/>
        </w:rPr>
        <w:t xml:space="preserve"> </w:t>
      </w:r>
      <w:r w:rsidRPr="00D34DCC">
        <w:rPr>
          <w:rFonts w:cs="Times New Roman"/>
          <w:b w:val="0"/>
          <w:sz w:val="24"/>
          <w:szCs w:val="24"/>
        </w:rPr>
        <w:fldChar w:fldCharType="begin"/>
      </w:r>
      <w:r w:rsidRPr="00D34DCC">
        <w:rPr>
          <w:rFonts w:cs="Times New Roman"/>
          <w:b w:val="0"/>
          <w:sz w:val="24"/>
          <w:szCs w:val="24"/>
        </w:rPr>
        <w:instrText xml:space="preserve"> SEQ Хүснэгт \* ARABIC </w:instrText>
      </w:r>
      <w:r w:rsidRPr="00D34DCC">
        <w:rPr>
          <w:rFonts w:cs="Times New Roman"/>
          <w:b w:val="0"/>
          <w:sz w:val="24"/>
          <w:szCs w:val="24"/>
        </w:rPr>
        <w:fldChar w:fldCharType="separate"/>
      </w:r>
      <w:r w:rsidRPr="00D34DCC">
        <w:rPr>
          <w:rFonts w:cs="Times New Roman"/>
          <w:b w:val="0"/>
          <w:noProof/>
          <w:sz w:val="24"/>
          <w:szCs w:val="24"/>
        </w:rPr>
        <w:t>5</w:t>
      </w:r>
      <w:r w:rsidRPr="00D34DCC">
        <w:rPr>
          <w:rFonts w:cs="Times New Roman"/>
          <w:b w:val="0"/>
          <w:noProof/>
          <w:sz w:val="24"/>
          <w:szCs w:val="24"/>
        </w:rPr>
        <w:fldChar w:fldCharType="end"/>
      </w:r>
      <w:r w:rsidRPr="00D34DCC">
        <w:rPr>
          <w:rFonts w:cs="Times New Roman"/>
          <w:b w:val="0"/>
          <w:sz w:val="24"/>
          <w:szCs w:val="24"/>
          <w:lang w:val="mn-MN"/>
        </w:rPr>
        <w:t>. ДУНДАЖ ЦАЛИН, МЯНГАН ТӨГРӨГ</w:t>
      </w:r>
      <w:bookmarkEnd w:id="8"/>
    </w:p>
    <w:tbl>
      <w:tblPr>
        <w:tblW w:w="9182" w:type="dxa"/>
        <w:tblInd w:w="558" w:type="dxa"/>
        <w:tblLook w:val="04A0" w:firstRow="1" w:lastRow="0" w:firstColumn="1" w:lastColumn="0" w:noHBand="0" w:noVBand="1"/>
      </w:tblPr>
      <w:tblGrid>
        <w:gridCol w:w="3060"/>
        <w:gridCol w:w="1123"/>
        <w:gridCol w:w="1570"/>
        <w:gridCol w:w="1411"/>
        <w:gridCol w:w="1130"/>
        <w:gridCol w:w="960"/>
      </w:tblGrid>
      <w:tr w:rsidR="00D34DCC" w:rsidRPr="00D34DCC" w14:paraId="43D1EAC1" w14:textId="77777777" w:rsidTr="002C5A6C">
        <w:trPr>
          <w:trHeight w:val="300"/>
        </w:trPr>
        <w:tc>
          <w:tcPr>
            <w:tcW w:w="3060" w:type="dxa"/>
            <w:tcBorders>
              <w:top w:val="single" w:sz="4" w:space="0" w:color="auto"/>
              <w:bottom w:val="single" w:sz="4" w:space="0" w:color="auto"/>
            </w:tcBorders>
            <w:noWrap/>
            <w:vAlign w:val="center"/>
            <w:hideMark/>
          </w:tcPr>
          <w:p w14:paraId="2A4820AA" w14:textId="77777777" w:rsidR="00D34DCC" w:rsidRPr="00D34DCC" w:rsidRDefault="00D34DCC" w:rsidP="002C5A6C">
            <w:pPr>
              <w:jc w:val="both"/>
              <w:rPr>
                <w:rFonts w:ascii="Times New Roman" w:eastAsia="Times New Roman" w:hAnsi="Times New Roman" w:cs="Times New Roman"/>
                <w:b/>
                <w:i/>
                <w:color w:val="000000"/>
                <w:sz w:val="24"/>
                <w:szCs w:val="24"/>
                <w:lang w:val="mn-MN"/>
              </w:rPr>
            </w:pPr>
            <w:r w:rsidRPr="00D34DCC">
              <w:rPr>
                <w:rFonts w:ascii="Times New Roman" w:eastAsia="Times New Roman" w:hAnsi="Times New Roman" w:cs="Times New Roman"/>
                <w:b/>
                <w:i/>
                <w:color w:val="000000"/>
                <w:sz w:val="24"/>
                <w:szCs w:val="24"/>
                <w:lang w:val="mn-MN"/>
              </w:rPr>
              <w:lastRenderedPageBreak/>
              <w:t>Боловсролын түвшин</w:t>
            </w:r>
          </w:p>
        </w:tc>
        <w:tc>
          <w:tcPr>
            <w:tcW w:w="1051" w:type="dxa"/>
            <w:tcBorders>
              <w:top w:val="single" w:sz="4" w:space="0" w:color="auto"/>
              <w:bottom w:val="single" w:sz="4" w:space="0" w:color="auto"/>
            </w:tcBorders>
            <w:noWrap/>
            <w:vAlign w:val="center"/>
            <w:hideMark/>
          </w:tcPr>
          <w:p w14:paraId="2C19DEB2" w14:textId="77777777" w:rsidR="00D34DCC" w:rsidRPr="00D34DCC" w:rsidRDefault="00D34DCC" w:rsidP="002C5A6C">
            <w:pPr>
              <w:jc w:val="both"/>
              <w:rPr>
                <w:rFonts w:ascii="Times New Roman" w:eastAsia="Times New Roman" w:hAnsi="Times New Roman" w:cs="Times New Roman"/>
                <w:b/>
                <w:i/>
                <w:color w:val="000000"/>
                <w:sz w:val="24"/>
                <w:szCs w:val="24"/>
              </w:rPr>
            </w:pPr>
            <w:proofErr w:type="spellStart"/>
            <w:r w:rsidRPr="00D34DCC">
              <w:rPr>
                <w:rFonts w:ascii="Times New Roman" w:eastAsia="Times New Roman" w:hAnsi="Times New Roman" w:cs="Times New Roman"/>
                <w:b/>
                <w:i/>
                <w:color w:val="000000"/>
                <w:sz w:val="24"/>
                <w:szCs w:val="24"/>
              </w:rPr>
              <w:t>Нийслэл</w:t>
            </w:r>
            <w:proofErr w:type="spellEnd"/>
          </w:p>
        </w:tc>
        <w:tc>
          <w:tcPr>
            <w:tcW w:w="1570" w:type="dxa"/>
            <w:tcBorders>
              <w:top w:val="single" w:sz="4" w:space="0" w:color="auto"/>
              <w:bottom w:val="single" w:sz="4" w:space="0" w:color="auto"/>
            </w:tcBorders>
            <w:noWrap/>
            <w:vAlign w:val="center"/>
            <w:hideMark/>
          </w:tcPr>
          <w:p w14:paraId="77810A55" w14:textId="77777777" w:rsidR="00D34DCC" w:rsidRPr="00D34DCC" w:rsidRDefault="00D34DCC" w:rsidP="002C5A6C">
            <w:pPr>
              <w:jc w:val="both"/>
              <w:rPr>
                <w:rFonts w:ascii="Times New Roman" w:eastAsia="Times New Roman" w:hAnsi="Times New Roman" w:cs="Times New Roman"/>
                <w:b/>
                <w:i/>
                <w:color w:val="000000"/>
                <w:sz w:val="24"/>
                <w:szCs w:val="24"/>
              </w:rPr>
            </w:pPr>
            <w:proofErr w:type="spellStart"/>
            <w:r w:rsidRPr="00D34DCC">
              <w:rPr>
                <w:rFonts w:ascii="Times New Roman" w:eastAsia="Times New Roman" w:hAnsi="Times New Roman" w:cs="Times New Roman"/>
                <w:b/>
                <w:i/>
                <w:color w:val="000000"/>
                <w:sz w:val="24"/>
                <w:szCs w:val="24"/>
              </w:rPr>
              <w:t>Аймгийн</w:t>
            </w:r>
            <w:proofErr w:type="spellEnd"/>
            <w:r w:rsidRPr="00D34DCC">
              <w:rPr>
                <w:rFonts w:ascii="Times New Roman" w:eastAsia="Times New Roman" w:hAnsi="Times New Roman" w:cs="Times New Roman"/>
                <w:b/>
                <w:i/>
                <w:color w:val="000000"/>
                <w:sz w:val="24"/>
                <w:szCs w:val="24"/>
                <w:lang w:val="mn-MN"/>
              </w:rPr>
              <w:t xml:space="preserve"> </w:t>
            </w:r>
            <w:proofErr w:type="spellStart"/>
            <w:r w:rsidRPr="00D34DCC">
              <w:rPr>
                <w:rFonts w:ascii="Times New Roman" w:eastAsia="Times New Roman" w:hAnsi="Times New Roman" w:cs="Times New Roman"/>
                <w:b/>
                <w:i/>
                <w:color w:val="000000"/>
                <w:sz w:val="24"/>
                <w:szCs w:val="24"/>
              </w:rPr>
              <w:t>төв</w:t>
            </w:r>
            <w:proofErr w:type="spellEnd"/>
          </w:p>
        </w:tc>
        <w:tc>
          <w:tcPr>
            <w:tcW w:w="1411" w:type="dxa"/>
            <w:tcBorders>
              <w:top w:val="single" w:sz="4" w:space="0" w:color="auto"/>
              <w:bottom w:val="single" w:sz="4" w:space="0" w:color="auto"/>
            </w:tcBorders>
            <w:noWrap/>
            <w:vAlign w:val="center"/>
            <w:hideMark/>
          </w:tcPr>
          <w:p w14:paraId="2C765D82" w14:textId="77777777" w:rsidR="00D34DCC" w:rsidRPr="00D34DCC" w:rsidRDefault="00D34DCC" w:rsidP="002C5A6C">
            <w:pPr>
              <w:jc w:val="both"/>
              <w:rPr>
                <w:rFonts w:ascii="Times New Roman" w:eastAsia="Times New Roman" w:hAnsi="Times New Roman" w:cs="Times New Roman"/>
                <w:b/>
                <w:i/>
                <w:color w:val="000000"/>
                <w:sz w:val="24"/>
                <w:szCs w:val="24"/>
              </w:rPr>
            </w:pPr>
            <w:proofErr w:type="spellStart"/>
            <w:r w:rsidRPr="00D34DCC">
              <w:rPr>
                <w:rFonts w:ascii="Times New Roman" w:eastAsia="Times New Roman" w:hAnsi="Times New Roman" w:cs="Times New Roman"/>
                <w:b/>
                <w:i/>
                <w:color w:val="000000"/>
                <w:sz w:val="24"/>
                <w:szCs w:val="24"/>
              </w:rPr>
              <w:t>Сумын</w:t>
            </w:r>
            <w:proofErr w:type="spellEnd"/>
            <w:r w:rsidRPr="00D34DCC">
              <w:rPr>
                <w:rFonts w:ascii="Times New Roman" w:eastAsia="Times New Roman" w:hAnsi="Times New Roman" w:cs="Times New Roman"/>
                <w:b/>
                <w:i/>
                <w:color w:val="000000"/>
                <w:sz w:val="24"/>
                <w:szCs w:val="24"/>
                <w:lang w:val="mn-MN"/>
              </w:rPr>
              <w:t xml:space="preserve"> </w:t>
            </w:r>
            <w:proofErr w:type="spellStart"/>
            <w:r w:rsidRPr="00D34DCC">
              <w:rPr>
                <w:rFonts w:ascii="Times New Roman" w:eastAsia="Times New Roman" w:hAnsi="Times New Roman" w:cs="Times New Roman"/>
                <w:b/>
                <w:i/>
                <w:color w:val="000000"/>
                <w:sz w:val="24"/>
                <w:szCs w:val="24"/>
              </w:rPr>
              <w:t>төв</w:t>
            </w:r>
            <w:proofErr w:type="spellEnd"/>
          </w:p>
        </w:tc>
        <w:tc>
          <w:tcPr>
            <w:tcW w:w="1130" w:type="dxa"/>
            <w:tcBorders>
              <w:top w:val="single" w:sz="4" w:space="0" w:color="auto"/>
              <w:bottom w:val="single" w:sz="4" w:space="0" w:color="auto"/>
            </w:tcBorders>
            <w:noWrap/>
            <w:vAlign w:val="center"/>
            <w:hideMark/>
          </w:tcPr>
          <w:p w14:paraId="53EE1D04" w14:textId="77777777" w:rsidR="00D34DCC" w:rsidRPr="00D34DCC" w:rsidRDefault="00D34DCC" w:rsidP="002C5A6C">
            <w:pPr>
              <w:jc w:val="both"/>
              <w:rPr>
                <w:rFonts w:ascii="Times New Roman" w:eastAsia="Times New Roman" w:hAnsi="Times New Roman" w:cs="Times New Roman"/>
                <w:b/>
                <w:i/>
                <w:color w:val="000000"/>
                <w:sz w:val="24"/>
                <w:szCs w:val="24"/>
              </w:rPr>
            </w:pPr>
            <w:proofErr w:type="spellStart"/>
            <w:r w:rsidRPr="00D34DCC">
              <w:rPr>
                <w:rFonts w:ascii="Times New Roman" w:eastAsia="Times New Roman" w:hAnsi="Times New Roman" w:cs="Times New Roman"/>
                <w:b/>
                <w:i/>
                <w:color w:val="000000"/>
                <w:sz w:val="24"/>
                <w:szCs w:val="24"/>
              </w:rPr>
              <w:t>Хөдөө</w:t>
            </w:r>
            <w:proofErr w:type="spellEnd"/>
          </w:p>
        </w:tc>
        <w:tc>
          <w:tcPr>
            <w:tcW w:w="960" w:type="dxa"/>
            <w:tcBorders>
              <w:top w:val="single" w:sz="4" w:space="0" w:color="auto"/>
              <w:bottom w:val="single" w:sz="4" w:space="0" w:color="auto"/>
            </w:tcBorders>
            <w:noWrap/>
            <w:vAlign w:val="center"/>
            <w:hideMark/>
          </w:tcPr>
          <w:p w14:paraId="70DC05A8" w14:textId="77777777" w:rsidR="00D34DCC" w:rsidRPr="00D34DCC" w:rsidRDefault="00D34DCC" w:rsidP="002C5A6C">
            <w:pPr>
              <w:jc w:val="both"/>
              <w:rPr>
                <w:rFonts w:ascii="Times New Roman" w:eastAsia="Times New Roman" w:hAnsi="Times New Roman" w:cs="Times New Roman"/>
                <w:b/>
                <w:i/>
                <w:color w:val="000000"/>
                <w:sz w:val="24"/>
                <w:szCs w:val="24"/>
              </w:rPr>
            </w:pPr>
            <w:proofErr w:type="spellStart"/>
            <w:r w:rsidRPr="00D34DCC">
              <w:rPr>
                <w:rFonts w:ascii="Times New Roman" w:eastAsia="Times New Roman" w:hAnsi="Times New Roman" w:cs="Times New Roman"/>
                <w:b/>
                <w:i/>
                <w:color w:val="000000"/>
                <w:sz w:val="24"/>
                <w:szCs w:val="24"/>
              </w:rPr>
              <w:t>Нийт</w:t>
            </w:r>
            <w:proofErr w:type="spellEnd"/>
          </w:p>
        </w:tc>
      </w:tr>
      <w:tr w:rsidR="00D34DCC" w:rsidRPr="00D34DCC" w14:paraId="3413FCAE" w14:textId="77777777" w:rsidTr="002C5A6C">
        <w:trPr>
          <w:trHeight w:val="300"/>
        </w:trPr>
        <w:tc>
          <w:tcPr>
            <w:tcW w:w="3060" w:type="dxa"/>
            <w:tcBorders>
              <w:top w:val="single" w:sz="4" w:space="0" w:color="auto"/>
            </w:tcBorders>
            <w:noWrap/>
            <w:hideMark/>
          </w:tcPr>
          <w:p w14:paraId="6727B72B"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Бүрэн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дундаас</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доош</w:t>
            </w:r>
            <w:proofErr w:type="spellEnd"/>
          </w:p>
        </w:tc>
        <w:tc>
          <w:tcPr>
            <w:tcW w:w="1051" w:type="dxa"/>
            <w:tcBorders>
              <w:top w:val="single" w:sz="4" w:space="0" w:color="auto"/>
            </w:tcBorders>
            <w:noWrap/>
            <w:vAlign w:val="center"/>
            <w:hideMark/>
          </w:tcPr>
          <w:p w14:paraId="79AACA47"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461.1</w:t>
            </w:r>
          </w:p>
        </w:tc>
        <w:tc>
          <w:tcPr>
            <w:tcW w:w="1570" w:type="dxa"/>
            <w:tcBorders>
              <w:top w:val="single" w:sz="4" w:space="0" w:color="auto"/>
            </w:tcBorders>
            <w:noWrap/>
            <w:vAlign w:val="center"/>
            <w:hideMark/>
          </w:tcPr>
          <w:p w14:paraId="281F07F2"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358.6</w:t>
            </w:r>
          </w:p>
        </w:tc>
        <w:tc>
          <w:tcPr>
            <w:tcW w:w="1411" w:type="dxa"/>
            <w:tcBorders>
              <w:top w:val="single" w:sz="4" w:space="0" w:color="auto"/>
            </w:tcBorders>
            <w:noWrap/>
            <w:vAlign w:val="center"/>
            <w:hideMark/>
          </w:tcPr>
          <w:p w14:paraId="49809605"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311.0</w:t>
            </w:r>
          </w:p>
        </w:tc>
        <w:tc>
          <w:tcPr>
            <w:tcW w:w="1130" w:type="dxa"/>
            <w:tcBorders>
              <w:top w:val="single" w:sz="4" w:space="0" w:color="auto"/>
            </w:tcBorders>
            <w:noWrap/>
            <w:vAlign w:val="center"/>
            <w:hideMark/>
          </w:tcPr>
          <w:p w14:paraId="6508261D"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288.5</w:t>
            </w:r>
          </w:p>
        </w:tc>
        <w:tc>
          <w:tcPr>
            <w:tcW w:w="960" w:type="dxa"/>
            <w:tcBorders>
              <w:top w:val="single" w:sz="4" w:space="0" w:color="auto"/>
            </w:tcBorders>
            <w:noWrap/>
            <w:vAlign w:val="center"/>
            <w:hideMark/>
          </w:tcPr>
          <w:p w14:paraId="04AB20BF"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315.9</w:t>
            </w:r>
          </w:p>
        </w:tc>
      </w:tr>
      <w:tr w:rsidR="00D34DCC" w:rsidRPr="00D34DCC" w14:paraId="040AC977" w14:textId="77777777" w:rsidTr="002C5A6C">
        <w:trPr>
          <w:trHeight w:val="300"/>
        </w:trPr>
        <w:tc>
          <w:tcPr>
            <w:tcW w:w="3060" w:type="dxa"/>
            <w:noWrap/>
            <w:hideMark/>
          </w:tcPr>
          <w:p w14:paraId="7DD16903"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Бүрэн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дунд</w:t>
            </w:r>
            <w:proofErr w:type="spellEnd"/>
          </w:p>
        </w:tc>
        <w:tc>
          <w:tcPr>
            <w:tcW w:w="1051" w:type="dxa"/>
            <w:noWrap/>
            <w:vAlign w:val="center"/>
            <w:hideMark/>
          </w:tcPr>
          <w:p w14:paraId="65B69511"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518.8</w:t>
            </w:r>
          </w:p>
        </w:tc>
        <w:tc>
          <w:tcPr>
            <w:tcW w:w="1570" w:type="dxa"/>
            <w:noWrap/>
            <w:vAlign w:val="center"/>
            <w:hideMark/>
          </w:tcPr>
          <w:p w14:paraId="2881AC7B"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417.1</w:t>
            </w:r>
          </w:p>
        </w:tc>
        <w:tc>
          <w:tcPr>
            <w:tcW w:w="1411" w:type="dxa"/>
            <w:noWrap/>
            <w:vAlign w:val="center"/>
            <w:hideMark/>
          </w:tcPr>
          <w:p w14:paraId="11C2B577"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382.4</w:t>
            </w:r>
          </w:p>
        </w:tc>
        <w:tc>
          <w:tcPr>
            <w:tcW w:w="1130" w:type="dxa"/>
            <w:noWrap/>
            <w:vAlign w:val="center"/>
            <w:hideMark/>
          </w:tcPr>
          <w:p w14:paraId="75B85458"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372.4</w:t>
            </w:r>
          </w:p>
        </w:tc>
        <w:tc>
          <w:tcPr>
            <w:tcW w:w="960" w:type="dxa"/>
            <w:noWrap/>
            <w:vAlign w:val="center"/>
            <w:hideMark/>
          </w:tcPr>
          <w:p w14:paraId="3B88A410"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439.2</w:t>
            </w:r>
          </w:p>
        </w:tc>
      </w:tr>
      <w:tr w:rsidR="00D34DCC" w:rsidRPr="00D34DCC" w14:paraId="38503590" w14:textId="77777777" w:rsidTr="002C5A6C">
        <w:trPr>
          <w:trHeight w:val="300"/>
        </w:trPr>
        <w:tc>
          <w:tcPr>
            <w:tcW w:w="3060" w:type="dxa"/>
            <w:noWrap/>
            <w:hideMark/>
          </w:tcPr>
          <w:p w14:paraId="2CDF90EE"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Техник</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мэргэжлийн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дунд</w:t>
            </w:r>
            <w:proofErr w:type="spellEnd"/>
          </w:p>
        </w:tc>
        <w:tc>
          <w:tcPr>
            <w:tcW w:w="1051" w:type="dxa"/>
            <w:noWrap/>
            <w:vAlign w:val="center"/>
            <w:hideMark/>
          </w:tcPr>
          <w:p w14:paraId="17C7C4DE"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583.2</w:t>
            </w:r>
          </w:p>
        </w:tc>
        <w:tc>
          <w:tcPr>
            <w:tcW w:w="1570" w:type="dxa"/>
            <w:noWrap/>
            <w:vAlign w:val="center"/>
            <w:hideMark/>
          </w:tcPr>
          <w:p w14:paraId="65D83A49"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480.3</w:t>
            </w:r>
          </w:p>
        </w:tc>
        <w:tc>
          <w:tcPr>
            <w:tcW w:w="1411" w:type="dxa"/>
            <w:noWrap/>
            <w:vAlign w:val="center"/>
            <w:hideMark/>
          </w:tcPr>
          <w:p w14:paraId="3340E0DB"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437.3</w:t>
            </w:r>
          </w:p>
        </w:tc>
        <w:tc>
          <w:tcPr>
            <w:tcW w:w="1130" w:type="dxa"/>
            <w:noWrap/>
            <w:vAlign w:val="center"/>
            <w:hideMark/>
          </w:tcPr>
          <w:p w14:paraId="5AFEFF55"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381.1</w:t>
            </w:r>
          </w:p>
        </w:tc>
        <w:tc>
          <w:tcPr>
            <w:tcW w:w="960" w:type="dxa"/>
            <w:noWrap/>
            <w:vAlign w:val="center"/>
            <w:hideMark/>
          </w:tcPr>
          <w:p w14:paraId="03964E8D"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491.2</w:t>
            </w:r>
          </w:p>
        </w:tc>
      </w:tr>
      <w:tr w:rsidR="00D34DCC" w:rsidRPr="00D34DCC" w14:paraId="3E11DCF1" w14:textId="77777777" w:rsidTr="002C5A6C">
        <w:trPr>
          <w:trHeight w:val="300"/>
        </w:trPr>
        <w:tc>
          <w:tcPr>
            <w:tcW w:w="3060" w:type="dxa"/>
            <w:noWrap/>
            <w:hideMark/>
          </w:tcPr>
          <w:p w14:paraId="7823B3F2"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Тусгай</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мэргэжлийн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дунд</w:t>
            </w:r>
            <w:proofErr w:type="spellEnd"/>
          </w:p>
        </w:tc>
        <w:tc>
          <w:tcPr>
            <w:tcW w:w="1051" w:type="dxa"/>
            <w:noWrap/>
            <w:vAlign w:val="center"/>
            <w:hideMark/>
          </w:tcPr>
          <w:p w14:paraId="0CBB3491"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558.7</w:t>
            </w:r>
          </w:p>
        </w:tc>
        <w:tc>
          <w:tcPr>
            <w:tcW w:w="1570" w:type="dxa"/>
            <w:noWrap/>
            <w:vAlign w:val="center"/>
            <w:hideMark/>
          </w:tcPr>
          <w:p w14:paraId="04DC5680"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504.2</w:t>
            </w:r>
          </w:p>
        </w:tc>
        <w:tc>
          <w:tcPr>
            <w:tcW w:w="1411" w:type="dxa"/>
            <w:noWrap/>
            <w:vAlign w:val="center"/>
            <w:hideMark/>
          </w:tcPr>
          <w:p w14:paraId="13EF2C58"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454.6</w:t>
            </w:r>
          </w:p>
        </w:tc>
        <w:tc>
          <w:tcPr>
            <w:tcW w:w="1130" w:type="dxa"/>
            <w:noWrap/>
            <w:vAlign w:val="center"/>
            <w:hideMark/>
          </w:tcPr>
          <w:p w14:paraId="5984D627"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406.1</w:t>
            </w:r>
          </w:p>
        </w:tc>
        <w:tc>
          <w:tcPr>
            <w:tcW w:w="960" w:type="dxa"/>
            <w:noWrap/>
            <w:vAlign w:val="center"/>
            <w:hideMark/>
          </w:tcPr>
          <w:p w14:paraId="58187A1F"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496.6</w:t>
            </w:r>
          </w:p>
        </w:tc>
      </w:tr>
      <w:tr w:rsidR="00D34DCC" w:rsidRPr="00D34DCC" w14:paraId="7B9A1463" w14:textId="77777777" w:rsidTr="002C5A6C">
        <w:trPr>
          <w:trHeight w:val="300"/>
        </w:trPr>
        <w:tc>
          <w:tcPr>
            <w:tcW w:w="3060" w:type="dxa"/>
            <w:noWrap/>
            <w:hideMark/>
          </w:tcPr>
          <w:p w14:paraId="4E55CFAF"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Дипломын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дээд</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ба</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бакалавр</w:t>
            </w:r>
            <w:proofErr w:type="spellEnd"/>
          </w:p>
        </w:tc>
        <w:tc>
          <w:tcPr>
            <w:tcW w:w="1051" w:type="dxa"/>
            <w:noWrap/>
            <w:vAlign w:val="center"/>
            <w:hideMark/>
          </w:tcPr>
          <w:p w14:paraId="4D0D4703"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712.2</w:t>
            </w:r>
          </w:p>
        </w:tc>
        <w:tc>
          <w:tcPr>
            <w:tcW w:w="1570" w:type="dxa"/>
            <w:noWrap/>
            <w:vAlign w:val="center"/>
            <w:hideMark/>
          </w:tcPr>
          <w:p w14:paraId="116A2126"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577.9</w:t>
            </w:r>
          </w:p>
        </w:tc>
        <w:tc>
          <w:tcPr>
            <w:tcW w:w="1411" w:type="dxa"/>
            <w:noWrap/>
            <w:vAlign w:val="center"/>
            <w:hideMark/>
          </w:tcPr>
          <w:p w14:paraId="2F86673A"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523.0</w:t>
            </w:r>
          </w:p>
        </w:tc>
        <w:tc>
          <w:tcPr>
            <w:tcW w:w="1130" w:type="dxa"/>
            <w:noWrap/>
            <w:vAlign w:val="center"/>
            <w:hideMark/>
          </w:tcPr>
          <w:p w14:paraId="5232ED4B"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449.9</w:t>
            </w:r>
          </w:p>
        </w:tc>
        <w:tc>
          <w:tcPr>
            <w:tcW w:w="960" w:type="dxa"/>
            <w:noWrap/>
            <w:vAlign w:val="center"/>
            <w:hideMark/>
          </w:tcPr>
          <w:p w14:paraId="06C62C31"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623.3</w:t>
            </w:r>
          </w:p>
        </w:tc>
      </w:tr>
      <w:tr w:rsidR="00D34DCC" w:rsidRPr="00D34DCC" w14:paraId="206F27AF" w14:textId="77777777" w:rsidTr="002C5A6C">
        <w:trPr>
          <w:trHeight w:val="300"/>
        </w:trPr>
        <w:tc>
          <w:tcPr>
            <w:tcW w:w="3060" w:type="dxa"/>
            <w:tcBorders>
              <w:bottom w:val="single" w:sz="4" w:space="0" w:color="auto"/>
            </w:tcBorders>
            <w:noWrap/>
            <w:hideMark/>
          </w:tcPr>
          <w:p w14:paraId="610D09D5"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Дипломын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дараах</w:t>
            </w:r>
            <w:proofErr w:type="spellEnd"/>
          </w:p>
        </w:tc>
        <w:tc>
          <w:tcPr>
            <w:tcW w:w="1051" w:type="dxa"/>
            <w:tcBorders>
              <w:bottom w:val="single" w:sz="4" w:space="0" w:color="auto"/>
            </w:tcBorders>
            <w:noWrap/>
            <w:vAlign w:val="center"/>
            <w:hideMark/>
          </w:tcPr>
          <w:p w14:paraId="4C3F118F"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763.1</w:t>
            </w:r>
          </w:p>
        </w:tc>
        <w:tc>
          <w:tcPr>
            <w:tcW w:w="1570" w:type="dxa"/>
            <w:tcBorders>
              <w:bottom w:val="single" w:sz="4" w:space="0" w:color="auto"/>
            </w:tcBorders>
            <w:noWrap/>
            <w:vAlign w:val="center"/>
            <w:hideMark/>
          </w:tcPr>
          <w:p w14:paraId="2A918B58"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632.4</w:t>
            </w:r>
          </w:p>
        </w:tc>
        <w:tc>
          <w:tcPr>
            <w:tcW w:w="1411" w:type="dxa"/>
            <w:tcBorders>
              <w:bottom w:val="single" w:sz="4" w:space="0" w:color="auto"/>
            </w:tcBorders>
            <w:noWrap/>
            <w:vAlign w:val="center"/>
            <w:hideMark/>
          </w:tcPr>
          <w:p w14:paraId="2C9B7421"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512.7</w:t>
            </w:r>
          </w:p>
        </w:tc>
        <w:tc>
          <w:tcPr>
            <w:tcW w:w="1130" w:type="dxa"/>
            <w:tcBorders>
              <w:bottom w:val="single" w:sz="4" w:space="0" w:color="auto"/>
            </w:tcBorders>
            <w:noWrap/>
            <w:vAlign w:val="center"/>
            <w:hideMark/>
          </w:tcPr>
          <w:p w14:paraId="62C2E290"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450.0</w:t>
            </w:r>
          </w:p>
        </w:tc>
        <w:tc>
          <w:tcPr>
            <w:tcW w:w="960" w:type="dxa"/>
            <w:tcBorders>
              <w:bottom w:val="single" w:sz="4" w:space="0" w:color="auto"/>
            </w:tcBorders>
            <w:noWrap/>
            <w:vAlign w:val="center"/>
            <w:hideMark/>
          </w:tcPr>
          <w:p w14:paraId="697AA093"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700.5</w:t>
            </w:r>
          </w:p>
        </w:tc>
      </w:tr>
      <w:tr w:rsidR="00D34DCC" w:rsidRPr="00D34DCC" w14:paraId="3BD6EF0B" w14:textId="77777777" w:rsidTr="002C5A6C">
        <w:trPr>
          <w:trHeight w:val="300"/>
        </w:trPr>
        <w:tc>
          <w:tcPr>
            <w:tcW w:w="3060" w:type="dxa"/>
            <w:tcBorders>
              <w:top w:val="single" w:sz="4" w:space="0" w:color="auto"/>
              <w:bottom w:val="single" w:sz="4" w:space="0" w:color="auto"/>
            </w:tcBorders>
            <w:noWrap/>
            <w:hideMark/>
          </w:tcPr>
          <w:p w14:paraId="635216D9" w14:textId="77777777" w:rsidR="00D34DCC" w:rsidRPr="00D34DCC" w:rsidRDefault="00D34DCC" w:rsidP="002C5A6C">
            <w:pPr>
              <w:jc w:val="both"/>
              <w:rPr>
                <w:rFonts w:ascii="Times New Roman" w:eastAsia="Times New Roman" w:hAnsi="Times New Roman" w:cs="Times New Roman"/>
                <w:b/>
                <w:color w:val="000000"/>
                <w:sz w:val="24"/>
                <w:szCs w:val="24"/>
                <w:lang w:val="mn-MN"/>
              </w:rPr>
            </w:pPr>
            <w:r w:rsidRPr="00D34DCC">
              <w:rPr>
                <w:rFonts w:ascii="Times New Roman" w:eastAsia="Times New Roman" w:hAnsi="Times New Roman" w:cs="Times New Roman"/>
                <w:b/>
                <w:color w:val="000000"/>
                <w:sz w:val="24"/>
                <w:szCs w:val="24"/>
                <w:lang w:val="mn-MN"/>
              </w:rPr>
              <w:t>Дундаж</w:t>
            </w:r>
          </w:p>
        </w:tc>
        <w:tc>
          <w:tcPr>
            <w:tcW w:w="1051" w:type="dxa"/>
            <w:tcBorders>
              <w:top w:val="single" w:sz="4" w:space="0" w:color="auto"/>
              <w:bottom w:val="single" w:sz="4" w:space="0" w:color="auto"/>
            </w:tcBorders>
            <w:noWrap/>
            <w:vAlign w:val="center"/>
            <w:hideMark/>
          </w:tcPr>
          <w:p w14:paraId="5F437E76" w14:textId="77777777" w:rsidR="00D34DCC" w:rsidRPr="00D34DCC" w:rsidRDefault="00D34DCC" w:rsidP="002C5A6C">
            <w:pPr>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617.3</w:t>
            </w:r>
          </w:p>
        </w:tc>
        <w:tc>
          <w:tcPr>
            <w:tcW w:w="1570" w:type="dxa"/>
            <w:tcBorders>
              <w:top w:val="single" w:sz="4" w:space="0" w:color="auto"/>
              <w:bottom w:val="single" w:sz="4" w:space="0" w:color="auto"/>
            </w:tcBorders>
            <w:noWrap/>
            <w:vAlign w:val="center"/>
            <w:hideMark/>
          </w:tcPr>
          <w:p w14:paraId="3B5769D5" w14:textId="77777777" w:rsidR="00D34DCC" w:rsidRPr="00D34DCC" w:rsidRDefault="00D34DCC" w:rsidP="002C5A6C">
            <w:pPr>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487.1</w:t>
            </w:r>
          </w:p>
        </w:tc>
        <w:tc>
          <w:tcPr>
            <w:tcW w:w="1411" w:type="dxa"/>
            <w:tcBorders>
              <w:top w:val="single" w:sz="4" w:space="0" w:color="auto"/>
              <w:bottom w:val="single" w:sz="4" w:space="0" w:color="auto"/>
            </w:tcBorders>
            <w:noWrap/>
            <w:vAlign w:val="center"/>
            <w:hideMark/>
          </w:tcPr>
          <w:p w14:paraId="2383D89D" w14:textId="77777777" w:rsidR="00D34DCC" w:rsidRPr="00D34DCC" w:rsidRDefault="00D34DCC" w:rsidP="002C5A6C">
            <w:pPr>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422.9</w:t>
            </w:r>
          </w:p>
        </w:tc>
        <w:tc>
          <w:tcPr>
            <w:tcW w:w="1130" w:type="dxa"/>
            <w:tcBorders>
              <w:top w:val="single" w:sz="4" w:space="0" w:color="auto"/>
              <w:bottom w:val="single" w:sz="4" w:space="0" w:color="auto"/>
            </w:tcBorders>
            <w:noWrap/>
            <w:vAlign w:val="center"/>
            <w:hideMark/>
          </w:tcPr>
          <w:p w14:paraId="1419B669" w14:textId="77777777" w:rsidR="00D34DCC" w:rsidRPr="00D34DCC" w:rsidRDefault="00D34DCC" w:rsidP="002C5A6C">
            <w:pPr>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328.3</w:t>
            </w:r>
          </w:p>
        </w:tc>
        <w:tc>
          <w:tcPr>
            <w:tcW w:w="960" w:type="dxa"/>
            <w:tcBorders>
              <w:top w:val="single" w:sz="4" w:space="0" w:color="auto"/>
              <w:bottom w:val="single" w:sz="4" w:space="0" w:color="auto"/>
            </w:tcBorders>
            <w:noWrap/>
            <w:vAlign w:val="center"/>
            <w:hideMark/>
          </w:tcPr>
          <w:p w14:paraId="3977968A" w14:textId="77777777" w:rsidR="00D34DCC" w:rsidRPr="00D34DCC" w:rsidRDefault="00D34DCC" w:rsidP="002C5A6C">
            <w:pPr>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481.8</w:t>
            </w:r>
          </w:p>
        </w:tc>
      </w:tr>
    </w:tbl>
    <w:p w14:paraId="3F9D5AB4" w14:textId="77777777" w:rsidR="00D34DCC" w:rsidRPr="00D34DCC" w:rsidRDefault="00D34DCC" w:rsidP="00D34DCC">
      <w:pPr>
        <w:jc w:val="both"/>
        <w:rPr>
          <w:rFonts w:ascii="Times New Roman" w:hAnsi="Times New Roman" w:cs="Times New Roman"/>
          <w:sz w:val="24"/>
          <w:szCs w:val="24"/>
          <w:lang w:val="mn-MN"/>
        </w:rPr>
      </w:pPr>
    </w:p>
    <w:p w14:paraId="12AD7FD7"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Орлогын энэ зөрүү нь боловсрол өндөртэй хүмүүс төв суурин газар болон нийслэлд суурьших нэг чухал шалтгаан болнo. Боловсрол өндөртэй хүмүүсийн шилжилт хөдөлгөөн тэдний цалинд эерэг нөлөөлдгийг олон улсын судалгаа харуулдаг</w:t>
      </w:r>
      <w:sdt>
        <w:sdtPr>
          <w:rPr>
            <w:rFonts w:ascii="Times New Roman" w:hAnsi="Times New Roman" w:cs="Times New Roman"/>
            <w:sz w:val="24"/>
            <w:szCs w:val="24"/>
            <w:lang w:val="mn-MN"/>
          </w:rPr>
          <w:id w:val="130544775"/>
          <w:citation/>
        </w:sdtPr>
        <w:sdtContent>
          <w:r w:rsidRPr="00D34DCC">
            <w:rPr>
              <w:rFonts w:ascii="Times New Roman" w:hAnsi="Times New Roman" w:cs="Times New Roman"/>
              <w:sz w:val="24"/>
              <w:szCs w:val="24"/>
              <w:lang w:val="mn-MN"/>
            </w:rPr>
            <w:fldChar w:fldCharType="begin"/>
          </w:r>
          <w:r w:rsidRPr="00D34DCC">
            <w:rPr>
              <w:rFonts w:ascii="Times New Roman" w:hAnsi="Times New Roman" w:cs="Times New Roman"/>
              <w:sz w:val="24"/>
              <w:szCs w:val="24"/>
              <w:lang w:val="mn-MN"/>
            </w:rPr>
            <w:instrText xml:space="preserve"> CITATION DLk14 \l 1104 </w:instrText>
          </w:r>
          <w:r w:rsidRPr="00D34DCC">
            <w:rPr>
              <w:rFonts w:ascii="Times New Roman" w:hAnsi="Times New Roman" w:cs="Times New Roman"/>
              <w:sz w:val="24"/>
              <w:szCs w:val="24"/>
              <w:lang w:val="mn-MN"/>
            </w:rPr>
            <w:fldChar w:fldCharType="separate"/>
          </w:r>
          <w:r w:rsidRPr="00D34DCC">
            <w:rPr>
              <w:rFonts w:ascii="Times New Roman" w:hAnsi="Times New Roman" w:cs="Times New Roman"/>
              <w:noProof/>
              <w:sz w:val="24"/>
              <w:szCs w:val="24"/>
              <w:lang w:val="mn-MN"/>
            </w:rPr>
            <w:t xml:space="preserve"> (Lkhagvasuren, 2014)</w:t>
          </w:r>
          <w:r w:rsidRPr="00D34DCC">
            <w:rPr>
              <w:rFonts w:ascii="Times New Roman" w:hAnsi="Times New Roman" w:cs="Times New Roman"/>
              <w:sz w:val="24"/>
              <w:szCs w:val="24"/>
              <w:lang w:val="mn-MN"/>
            </w:rPr>
            <w:fldChar w:fldCharType="end"/>
          </w:r>
        </w:sdtContent>
      </w:sdt>
      <w:r w:rsidRPr="00D34DCC">
        <w:rPr>
          <w:rFonts w:ascii="Times New Roman" w:hAnsi="Times New Roman" w:cs="Times New Roman"/>
          <w:sz w:val="24"/>
          <w:szCs w:val="24"/>
          <w:lang w:val="mn-MN"/>
        </w:rPr>
        <w:t>. Тиймээс, ижил суурьшлын бүсэд амьдарч буй иргэдийн боловсролын үр өгөөжийг харьцуулж харах шаардлагатай. Үүний тулд өмнөх хэсэгт авч үзсэн загварыг ашиглалаа.</w:t>
      </w:r>
    </w:p>
    <w:p w14:paraId="250E036B" w14:textId="77777777" w:rsidR="00D34DCC" w:rsidRPr="00D34DCC" w:rsidRDefault="00D34DCC" w:rsidP="00D34DCC">
      <w:pPr>
        <w:pStyle w:val="Caption"/>
        <w:ind w:left="1350" w:hanging="1350"/>
        <w:jc w:val="both"/>
        <w:rPr>
          <w:rFonts w:cs="Times New Roman"/>
          <w:sz w:val="24"/>
          <w:szCs w:val="24"/>
        </w:rPr>
      </w:pPr>
      <w:bookmarkStart w:id="9" w:name="_Toc437220574"/>
    </w:p>
    <w:p w14:paraId="25A5EF12" w14:textId="77777777" w:rsidR="00D34DCC" w:rsidRPr="00D34DCC" w:rsidRDefault="00D34DCC" w:rsidP="00D34DCC">
      <w:pPr>
        <w:pStyle w:val="Caption"/>
        <w:ind w:left="1350" w:hanging="1350"/>
        <w:jc w:val="both"/>
        <w:rPr>
          <w:rFonts w:cs="Times New Roman"/>
          <w:b w:val="0"/>
          <w:i/>
          <w:sz w:val="24"/>
          <w:szCs w:val="24"/>
          <w:lang w:val="mn-MN"/>
        </w:rPr>
      </w:pPr>
      <w:r w:rsidRPr="00D34DCC">
        <w:rPr>
          <w:rFonts w:cs="Times New Roman"/>
          <w:b w:val="0"/>
          <w:sz w:val="24"/>
          <w:szCs w:val="24"/>
        </w:rPr>
        <w:t>ХҮСНЭГТ</w:t>
      </w:r>
      <w:r w:rsidRPr="00D34DCC">
        <w:rPr>
          <w:rFonts w:cs="Times New Roman"/>
          <w:b w:val="0"/>
          <w:sz w:val="24"/>
          <w:szCs w:val="24"/>
          <w:lang w:val="mn-MN"/>
        </w:rPr>
        <w:t xml:space="preserve"> </w:t>
      </w:r>
      <w:r w:rsidRPr="00D34DCC">
        <w:rPr>
          <w:rFonts w:cs="Times New Roman"/>
          <w:b w:val="0"/>
          <w:i/>
          <w:sz w:val="24"/>
          <w:szCs w:val="24"/>
        </w:rPr>
        <w:fldChar w:fldCharType="begin"/>
      </w:r>
      <w:r w:rsidRPr="00D34DCC">
        <w:rPr>
          <w:rFonts w:cs="Times New Roman"/>
          <w:b w:val="0"/>
          <w:sz w:val="24"/>
          <w:szCs w:val="24"/>
        </w:rPr>
        <w:instrText xml:space="preserve"> SEQ Хүснэгт \* ARABIC </w:instrText>
      </w:r>
      <w:r w:rsidRPr="00D34DCC">
        <w:rPr>
          <w:rFonts w:cs="Times New Roman"/>
          <w:b w:val="0"/>
          <w:i/>
          <w:sz w:val="24"/>
          <w:szCs w:val="24"/>
        </w:rPr>
        <w:fldChar w:fldCharType="separate"/>
      </w:r>
      <w:r w:rsidRPr="00D34DCC">
        <w:rPr>
          <w:rFonts w:cs="Times New Roman"/>
          <w:b w:val="0"/>
          <w:noProof/>
          <w:sz w:val="24"/>
          <w:szCs w:val="24"/>
        </w:rPr>
        <w:t>6</w:t>
      </w:r>
      <w:r w:rsidRPr="00D34DCC">
        <w:rPr>
          <w:rFonts w:cs="Times New Roman"/>
          <w:b w:val="0"/>
          <w:i/>
          <w:noProof/>
          <w:sz w:val="24"/>
          <w:szCs w:val="24"/>
        </w:rPr>
        <w:fldChar w:fldCharType="end"/>
      </w:r>
      <w:r w:rsidRPr="00D34DCC">
        <w:rPr>
          <w:rFonts w:cs="Times New Roman"/>
          <w:b w:val="0"/>
          <w:sz w:val="24"/>
          <w:szCs w:val="24"/>
          <w:lang w:val="mn-MN"/>
        </w:rPr>
        <w:t>. БОЛОВСРОЛЫН ӨГӨӨЖ БА СУУРЬШИЛ</w:t>
      </w:r>
      <w:bookmarkEnd w:id="9"/>
    </w:p>
    <w:tbl>
      <w:tblPr>
        <w:tblW w:w="8197" w:type="dxa"/>
        <w:jc w:val="center"/>
        <w:tblLook w:val="04A0" w:firstRow="1" w:lastRow="0" w:firstColumn="1" w:lastColumn="0" w:noHBand="0" w:noVBand="1"/>
      </w:tblPr>
      <w:tblGrid>
        <w:gridCol w:w="3014"/>
        <w:gridCol w:w="1123"/>
        <w:gridCol w:w="1616"/>
        <w:gridCol w:w="1386"/>
        <w:gridCol w:w="1130"/>
      </w:tblGrid>
      <w:tr w:rsidR="00D34DCC" w:rsidRPr="00D34DCC" w14:paraId="31F7B516" w14:textId="77777777" w:rsidTr="002C5A6C">
        <w:trPr>
          <w:trHeight w:val="300"/>
          <w:jc w:val="center"/>
        </w:trPr>
        <w:tc>
          <w:tcPr>
            <w:tcW w:w="3014" w:type="dxa"/>
            <w:tcBorders>
              <w:top w:val="single" w:sz="4" w:space="0" w:color="auto"/>
              <w:bottom w:val="single" w:sz="4" w:space="0" w:color="auto"/>
            </w:tcBorders>
            <w:noWrap/>
            <w:vAlign w:val="center"/>
            <w:hideMark/>
          </w:tcPr>
          <w:p w14:paraId="69D15F27" w14:textId="77777777" w:rsidR="00D34DCC" w:rsidRPr="00D34DCC" w:rsidRDefault="00D34DCC" w:rsidP="002C5A6C">
            <w:pPr>
              <w:jc w:val="both"/>
              <w:rPr>
                <w:rFonts w:ascii="Times New Roman" w:eastAsia="Times New Roman" w:hAnsi="Times New Roman" w:cs="Times New Roman"/>
                <w:b/>
                <w:i/>
                <w:color w:val="000000"/>
                <w:sz w:val="24"/>
                <w:szCs w:val="24"/>
                <w:lang w:val="mn-MN"/>
              </w:rPr>
            </w:pPr>
            <w:r w:rsidRPr="00D34DCC">
              <w:rPr>
                <w:rFonts w:ascii="Times New Roman" w:eastAsia="Times New Roman" w:hAnsi="Times New Roman" w:cs="Times New Roman"/>
                <w:b/>
                <w:i/>
                <w:color w:val="000000"/>
                <w:sz w:val="24"/>
                <w:szCs w:val="24"/>
                <w:lang w:val="mn-MN"/>
              </w:rPr>
              <w:t>Боловсрол</w:t>
            </w:r>
          </w:p>
        </w:tc>
        <w:tc>
          <w:tcPr>
            <w:tcW w:w="1051" w:type="dxa"/>
            <w:tcBorders>
              <w:top w:val="single" w:sz="4" w:space="0" w:color="auto"/>
              <w:bottom w:val="single" w:sz="4" w:space="0" w:color="auto"/>
            </w:tcBorders>
            <w:noWrap/>
            <w:vAlign w:val="center"/>
            <w:hideMark/>
          </w:tcPr>
          <w:p w14:paraId="203C3E4D" w14:textId="77777777" w:rsidR="00D34DCC" w:rsidRPr="00D34DCC" w:rsidRDefault="00D34DCC" w:rsidP="002C5A6C">
            <w:pPr>
              <w:jc w:val="both"/>
              <w:rPr>
                <w:rFonts w:ascii="Times New Roman" w:eastAsia="Times New Roman" w:hAnsi="Times New Roman" w:cs="Times New Roman"/>
                <w:b/>
                <w:i/>
                <w:color w:val="000000"/>
                <w:sz w:val="24"/>
                <w:szCs w:val="24"/>
              </w:rPr>
            </w:pPr>
            <w:proofErr w:type="spellStart"/>
            <w:r w:rsidRPr="00D34DCC">
              <w:rPr>
                <w:rFonts w:ascii="Times New Roman" w:eastAsia="Times New Roman" w:hAnsi="Times New Roman" w:cs="Times New Roman"/>
                <w:b/>
                <w:i/>
                <w:color w:val="000000"/>
                <w:sz w:val="24"/>
                <w:szCs w:val="24"/>
              </w:rPr>
              <w:t>Нийслэл</w:t>
            </w:r>
            <w:proofErr w:type="spellEnd"/>
          </w:p>
        </w:tc>
        <w:tc>
          <w:tcPr>
            <w:tcW w:w="1616" w:type="dxa"/>
            <w:tcBorders>
              <w:top w:val="single" w:sz="4" w:space="0" w:color="auto"/>
              <w:bottom w:val="single" w:sz="4" w:space="0" w:color="auto"/>
            </w:tcBorders>
            <w:noWrap/>
            <w:vAlign w:val="center"/>
            <w:hideMark/>
          </w:tcPr>
          <w:p w14:paraId="422ECF5D" w14:textId="77777777" w:rsidR="00D34DCC" w:rsidRPr="00D34DCC" w:rsidRDefault="00D34DCC" w:rsidP="002C5A6C">
            <w:pPr>
              <w:jc w:val="both"/>
              <w:rPr>
                <w:rFonts w:ascii="Times New Roman" w:eastAsia="Times New Roman" w:hAnsi="Times New Roman" w:cs="Times New Roman"/>
                <w:b/>
                <w:i/>
                <w:color w:val="000000"/>
                <w:sz w:val="24"/>
                <w:szCs w:val="24"/>
              </w:rPr>
            </w:pPr>
            <w:proofErr w:type="spellStart"/>
            <w:r w:rsidRPr="00D34DCC">
              <w:rPr>
                <w:rFonts w:ascii="Times New Roman" w:eastAsia="Times New Roman" w:hAnsi="Times New Roman" w:cs="Times New Roman"/>
                <w:b/>
                <w:i/>
                <w:color w:val="000000"/>
                <w:sz w:val="24"/>
                <w:szCs w:val="24"/>
              </w:rPr>
              <w:t>Аймгийн</w:t>
            </w:r>
            <w:proofErr w:type="spellEnd"/>
            <w:r w:rsidRPr="00D34DCC">
              <w:rPr>
                <w:rFonts w:ascii="Times New Roman" w:eastAsia="Times New Roman" w:hAnsi="Times New Roman" w:cs="Times New Roman"/>
                <w:b/>
                <w:i/>
                <w:color w:val="000000"/>
                <w:sz w:val="24"/>
                <w:szCs w:val="24"/>
              </w:rPr>
              <w:t xml:space="preserve"> </w:t>
            </w:r>
            <w:proofErr w:type="spellStart"/>
            <w:r w:rsidRPr="00D34DCC">
              <w:rPr>
                <w:rFonts w:ascii="Times New Roman" w:eastAsia="Times New Roman" w:hAnsi="Times New Roman" w:cs="Times New Roman"/>
                <w:b/>
                <w:i/>
                <w:color w:val="000000"/>
                <w:sz w:val="24"/>
                <w:szCs w:val="24"/>
              </w:rPr>
              <w:t>төв</w:t>
            </w:r>
            <w:proofErr w:type="spellEnd"/>
          </w:p>
        </w:tc>
        <w:tc>
          <w:tcPr>
            <w:tcW w:w="1386" w:type="dxa"/>
            <w:tcBorders>
              <w:top w:val="single" w:sz="4" w:space="0" w:color="auto"/>
              <w:bottom w:val="single" w:sz="4" w:space="0" w:color="auto"/>
            </w:tcBorders>
            <w:noWrap/>
            <w:vAlign w:val="center"/>
            <w:hideMark/>
          </w:tcPr>
          <w:p w14:paraId="18D5EFE4" w14:textId="77777777" w:rsidR="00D34DCC" w:rsidRPr="00D34DCC" w:rsidRDefault="00D34DCC" w:rsidP="002C5A6C">
            <w:pPr>
              <w:jc w:val="both"/>
              <w:rPr>
                <w:rFonts w:ascii="Times New Roman" w:eastAsia="Times New Roman" w:hAnsi="Times New Roman" w:cs="Times New Roman"/>
                <w:b/>
                <w:i/>
                <w:color w:val="000000"/>
                <w:sz w:val="24"/>
                <w:szCs w:val="24"/>
              </w:rPr>
            </w:pPr>
            <w:proofErr w:type="spellStart"/>
            <w:r w:rsidRPr="00D34DCC">
              <w:rPr>
                <w:rFonts w:ascii="Times New Roman" w:eastAsia="Times New Roman" w:hAnsi="Times New Roman" w:cs="Times New Roman"/>
                <w:b/>
                <w:i/>
                <w:color w:val="000000"/>
                <w:sz w:val="24"/>
                <w:szCs w:val="24"/>
              </w:rPr>
              <w:t>Сумын</w:t>
            </w:r>
            <w:proofErr w:type="spellEnd"/>
            <w:r w:rsidRPr="00D34DCC">
              <w:rPr>
                <w:rFonts w:ascii="Times New Roman" w:eastAsia="Times New Roman" w:hAnsi="Times New Roman" w:cs="Times New Roman"/>
                <w:b/>
                <w:i/>
                <w:color w:val="000000"/>
                <w:sz w:val="24"/>
                <w:szCs w:val="24"/>
              </w:rPr>
              <w:t xml:space="preserve"> </w:t>
            </w:r>
            <w:proofErr w:type="spellStart"/>
            <w:r w:rsidRPr="00D34DCC">
              <w:rPr>
                <w:rFonts w:ascii="Times New Roman" w:eastAsia="Times New Roman" w:hAnsi="Times New Roman" w:cs="Times New Roman"/>
                <w:b/>
                <w:i/>
                <w:color w:val="000000"/>
                <w:sz w:val="24"/>
                <w:szCs w:val="24"/>
              </w:rPr>
              <w:t>төв</w:t>
            </w:r>
            <w:proofErr w:type="spellEnd"/>
          </w:p>
        </w:tc>
        <w:tc>
          <w:tcPr>
            <w:tcW w:w="1130" w:type="dxa"/>
            <w:tcBorders>
              <w:top w:val="single" w:sz="4" w:space="0" w:color="auto"/>
              <w:bottom w:val="single" w:sz="4" w:space="0" w:color="auto"/>
            </w:tcBorders>
            <w:noWrap/>
            <w:vAlign w:val="center"/>
            <w:hideMark/>
          </w:tcPr>
          <w:p w14:paraId="6260ADC8" w14:textId="77777777" w:rsidR="00D34DCC" w:rsidRPr="00D34DCC" w:rsidRDefault="00D34DCC" w:rsidP="002C5A6C">
            <w:pPr>
              <w:jc w:val="both"/>
              <w:rPr>
                <w:rFonts w:ascii="Times New Roman" w:eastAsia="Times New Roman" w:hAnsi="Times New Roman" w:cs="Times New Roman"/>
                <w:b/>
                <w:i/>
                <w:color w:val="000000"/>
                <w:sz w:val="24"/>
                <w:szCs w:val="24"/>
              </w:rPr>
            </w:pPr>
            <w:proofErr w:type="spellStart"/>
            <w:r w:rsidRPr="00D34DCC">
              <w:rPr>
                <w:rFonts w:ascii="Times New Roman" w:eastAsia="Times New Roman" w:hAnsi="Times New Roman" w:cs="Times New Roman"/>
                <w:b/>
                <w:i/>
                <w:color w:val="000000"/>
                <w:sz w:val="24"/>
                <w:szCs w:val="24"/>
              </w:rPr>
              <w:t>Хөдөө</w:t>
            </w:r>
            <w:proofErr w:type="spellEnd"/>
          </w:p>
        </w:tc>
      </w:tr>
      <w:tr w:rsidR="00D34DCC" w:rsidRPr="00D34DCC" w14:paraId="1FB50B6C" w14:textId="77777777" w:rsidTr="002C5A6C">
        <w:trPr>
          <w:trHeight w:val="300"/>
          <w:jc w:val="center"/>
        </w:trPr>
        <w:tc>
          <w:tcPr>
            <w:tcW w:w="3014" w:type="dxa"/>
            <w:tcBorders>
              <w:top w:val="single" w:sz="4" w:space="0" w:color="auto"/>
            </w:tcBorders>
            <w:noWrap/>
            <w:hideMark/>
          </w:tcPr>
          <w:p w14:paraId="06EAE842"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Бүрэн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дундаас</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доош</w:t>
            </w:r>
            <w:proofErr w:type="spellEnd"/>
          </w:p>
        </w:tc>
        <w:tc>
          <w:tcPr>
            <w:tcW w:w="1051" w:type="dxa"/>
            <w:tcBorders>
              <w:top w:val="single" w:sz="4" w:space="0" w:color="auto"/>
            </w:tcBorders>
            <w:noWrap/>
            <w:vAlign w:val="center"/>
            <w:hideMark/>
          </w:tcPr>
          <w:p w14:paraId="7CDCE897"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-11%</w:t>
            </w:r>
          </w:p>
        </w:tc>
        <w:tc>
          <w:tcPr>
            <w:tcW w:w="1616" w:type="dxa"/>
            <w:tcBorders>
              <w:top w:val="single" w:sz="4" w:space="0" w:color="auto"/>
            </w:tcBorders>
            <w:noWrap/>
            <w:vAlign w:val="center"/>
            <w:hideMark/>
          </w:tcPr>
          <w:p w14:paraId="41D3E709"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-19%</w:t>
            </w:r>
          </w:p>
        </w:tc>
        <w:tc>
          <w:tcPr>
            <w:tcW w:w="1386" w:type="dxa"/>
            <w:tcBorders>
              <w:top w:val="single" w:sz="4" w:space="0" w:color="auto"/>
            </w:tcBorders>
            <w:noWrap/>
            <w:vAlign w:val="center"/>
            <w:hideMark/>
          </w:tcPr>
          <w:p w14:paraId="7953199C"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-27%</w:t>
            </w:r>
          </w:p>
        </w:tc>
        <w:tc>
          <w:tcPr>
            <w:tcW w:w="1130" w:type="dxa"/>
            <w:tcBorders>
              <w:top w:val="single" w:sz="4" w:space="0" w:color="auto"/>
            </w:tcBorders>
            <w:noWrap/>
            <w:vAlign w:val="center"/>
            <w:hideMark/>
          </w:tcPr>
          <w:p w14:paraId="040A719B"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-31%</w:t>
            </w:r>
          </w:p>
        </w:tc>
      </w:tr>
      <w:tr w:rsidR="00D34DCC" w:rsidRPr="00D34DCC" w14:paraId="096D40AB" w14:textId="77777777" w:rsidTr="002C5A6C">
        <w:trPr>
          <w:trHeight w:val="300"/>
          <w:jc w:val="center"/>
        </w:trPr>
        <w:tc>
          <w:tcPr>
            <w:tcW w:w="3014" w:type="dxa"/>
            <w:noWrap/>
            <w:hideMark/>
          </w:tcPr>
          <w:p w14:paraId="7F83E5FA"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lang w:val="mn-MN"/>
              </w:rPr>
            </w:pPr>
            <w:r w:rsidRPr="00D34DCC">
              <w:rPr>
                <w:rFonts w:ascii="Times New Roman" w:eastAsia="Times New Roman" w:hAnsi="Times New Roman" w:cs="Times New Roman"/>
                <w:b/>
                <w:color w:val="000000"/>
                <w:sz w:val="24"/>
                <w:szCs w:val="24"/>
                <w:lang w:val="mn-MN"/>
              </w:rPr>
              <w:t>Бүрэн дунд</w:t>
            </w:r>
          </w:p>
        </w:tc>
        <w:tc>
          <w:tcPr>
            <w:tcW w:w="1051" w:type="dxa"/>
            <w:noWrap/>
            <w:vAlign w:val="center"/>
            <w:hideMark/>
          </w:tcPr>
          <w:p w14:paraId="021AAD6C" w14:textId="77777777" w:rsidR="00D34DCC" w:rsidRPr="00D34DCC" w:rsidRDefault="00D34DCC" w:rsidP="002C5A6C">
            <w:pPr>
              <w:spacing w:before="60" w:after="60"/>
              <w:jc w:val="both"/>
              <w:rPr>
                <w:rFonts w:ascii="Times New Roman" w:hAnsi="Times New Roman" w:cs="Times New Roman"/>
                <w:color w:val="000000"/>
                <w:sz w:val="24"/>
                <w:szCs w:val="24"/>
                <w:lang w:val="mn-MN"/>
              </w:rPr>
            </w:pPr>
            <w:r w:rsidRPr="00D34DCC">
              <w:rPr>
                <w:rFonts w:ascii="Times New Roman" w:hAnsi="Times New Roman" w:cs="Times New Roman"/>
                <w:color w:val="000000"/>
                <w:sz w:val="24"/>
                <w:szCs w:val="24"/>
                <w:lang w:val="mn-MN"/>
              </w:rPr>
              <w:t>0%</w:t>
            </w:r>
          </w:p>
        </w:tc>
        <w:tc>
          <w:tcPr>
            <w:tcW w:w="1616" w:type="dxa"/>
            <w:noWrap/>
            <w:vAlign w:val="center"/>
            <w:hideMark/>
          </w:tcPr>
          <w:p w14:paraId="547BB69D" w14:textId="77777777" w:rsidR="00D34DCC" w:rsidRPr="00D34DCC" w:rsidRDefault="00D34DCC" w:rsidP="002C5A6C">
            <w:pPr>
              <w:spacing w:before="60" w:after="60"/>
              <w:jc w:val="both"/>
              <w:rPr>
                <w:rFonts w:ascii="Times New Roman" w:hAnsi="Times New Roman" w:cs="Times New Roman"/>
                <w:color w:val="000000"/>
                <w:sz w:val="24"/>
                <w:szCs w:val="24"/>
                <w:lang w:val="mn-MN"/>
              </w:rPr>
            </w:pPr>
            <w:r w:rsidRPr="00D34DCC">
              <w:rPr>
                <w:rFonts w:ascii="Times New Roman" w:hAnsi="Times New Roman" w:cs="Times New Roman"/>
                <w:color w:val="000000"/>
                <w:sz w:val="24"/>
                <w:szCs w:val="24"/>
                <w:lang w:val="mn-MN"/>
              </w:rPr>
              <w:t>0%</w:t>
            </w:r>
          </w:p>
        </w:tc>
        <w:tc>
          <w:tcPr>
            <w:tcW w:w="1386" w:type="dxa"/>
            <w:noWrap/>
            <w:vAlign w:val="center"/>
            <w:hideMark/>
          </w:tcPr>
          <w:p w14:paraId="29198F96" w14:textId="77777777" w:rsidR="00D34DCC" w:rsidRPr="00D34DCC" w:rsidRDefault="00D34DCC" w:rsidP="002C5A6C">
            <w:pPr>
              <w:spacing w:before="60" w:after="60"/>
              <w:jc w:val="both"/>
              <w:rPr>
                <w:rFonts w:ascii="Times New Roman" w:hAnsi="Times New Roman" w:cs="Times New Roman"/>
                <w:color w:val="000000"/>
                <w:sz w:val="24"/>
                <w:szCs w:val="24"/>
                <w:lang w:val="mn-MN"/>
              </w:rPr>
            </w:pPr>
            <w:r w:rsidRPr="00D34DCC">
              <w:rPr>
                <w:rFonts w:ascii="Times New Roman" w:hAnsi="Times New Roman" w:cs="Times New Roman"/>
                <w:color w:val="000000"/>
                <w:sz w:val="24"/>
                <w:szCs w:val="24"/>
                <w:lang w:val="mn-MN"/>
              </w:rPr>
              <w:t>0%</w:t>
            </w:r>
          </w:p>
        </w:tc>
        <w:tc>
          <w:tcPr>
            <w:tcW w:w="1130" w:type="dxa"/>
            <w:noWrap/>
            <w:vAlign w:val="center"/>
            <w:hideMark/>
          </w:tcPr>
          <w:p w14:paraId="54A64336" w14:textId="77777777" w:rsidR="00D34DCC" w:rsidRPr="00D34DCC" w:rsidRDefault="00D34DCC" w:rsidP="002C5A6C">
            <w:pPr>
              <w:spacing w:before="60" w:after="60"/>
              <w:jc w:val="both"/>
              <w:rPr>
                <w:rFonts w:ascii="Times New Roman" w:hAnsi="Times New Roman" w:cs="Times New Roman"/>
                <w:color w:val="000000"/>
                <w:sz w:val="24"/>
                <w:szCs w:val="24"/>
                <w:lang w:val="mn-MN"/>
              </w:rPr>
            </w:pPr>
            <w:r w:rsidRPr="00D34DCC">
              <w:rPr>
                <w:rFonts w:ascii="Times New Roman" w:hAnsi="Times New Roman" w:cs="Times New Roman"/>
                <w:color w:val="000000"/>
                <w:sz w:val="24"/>
                <w:szCs w:val="24"/>
                <w:lang w:val="mn-MN"/>
              </w:rPr>
              <w:t>0%</w:t>
            </w:r>
          </w:p>
        </w:tc>
      </w:tr>
      <w:tr w:rsidR="00D34DCC" w:rsidRPr="00D34DCC" w14:paraId="42B91B9C" w14:textId="77777777" w:rsidTr="002C5A6C">
        <w:trPr>
          <w:trHeight w:val="300"/>
          <w:jc w:val="center"/>
        </w:trPr>
        <w:tc>
          <w:tcPr>
            <w:tcW w:w="3014" w:type="dxa"/>
            <w:noWrap/>
            <w:hideMark/>
          </w:tcPr>
          <w:p w14:paraId="3F568FA0"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Техник</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мэргэжлийн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дунд</w:t>
            </w:r>
            <w:proofErr w:type="spellEnd"/>
          </w:p>
        </w:tc>
        <w:tc>
          <w:tcPr>
            <w:tcW w:w="1051" w:type="dxa"/>
            <w:noWrap/>
            <w:vAlign w:val="center"/>
            <w:hideMark/>
          </w:tcPr>
          <w:p w14:paraId="76D0CD1B"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1</w:t>
            </w:r>
            <w:r w:rsidRPr="00D34DCC">
              <w:rPr>
                <w:rFonts w:ascii="Times New Roman" w:hAnsi="Times New Roman" w:cs="Times New Roman"/>
                <w:color w:val="000000"/>
                <w:sz w:val="24"/>
                <w:szCs w:val="24"/>
                <w:lang w:val="mn-MN"/>
              </w:rPr>
              <w:t>1</w:t>
            </w:r>
            <w:r w:rsidRPr="00D34DCC">
              <w:rPr>
                <w:rFonts w:ascii="Times New Roman" w:hAnsi="Times New Roman" w:cs="Times New Roman"/>
                <w:color w:val="000000"/>
                <w:sz w:val="24"/>
                <w:szCs w:val="24"/>
              </w:rPr>
              <w:t>%</w:t>
            </w:r>
          </w:p>
        </w:tc>
        <w:tc>
          <w:tcPr>
            <w:tcW w:w="1616" w:type="dxa"/>
            <w:noWrap/>
            <w:vAlign w:val="center"/>
            <w:hideMark/>
          </w:tcPr>
          <w:p w14:paraId="435978CC"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12%</w:t>
            </w:r>
          </w:p>
        </w:tc>
        <w:tc>
          <w:tcPr>
            <w:tcW w:w="1386" w:type="dxa"/>
            <w:noWrap/>
            <w:vAlign w:val="center"/>
            <w:hideMark/>
          </w:tcPr>
          <w:p w14:paraId="5A7C0AD7"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11%</w:t>
            </w:r>
          </w:p>
        </w:tc>
        <w:tc>
          <w:tcPr>
            <w:tcW w:w="1130" w:type="dxa"/>
            <w:noWrap/>
            <w:vAlign w:val="center"/>
            <w:hideMark/>
          </w:tcPr>
          <w:p w14:paraId="63B8C70D"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2%</w:t>
            </w:r>
          </w:p>
        </w:tc>
      </w:tr>
      <w:tr w:rsidR="00D34DCC" w:rsidRPr="00D34DCC" w14:paraId="073BDDA7" w14:textId="77777777" w:rsidTr="002C5A6C">
        <w:trPr>
          <w:trHeight w:val="300"/>
          <w:jc w:val="center"/>
        </w:trPr>
        <w:tc>
          <w:tcPr>
            <w:tcW w:w="3014" w:type="dxa"/>
            <w:noWrap/>
            <w:hideMark/>
          </w:tcPr>
          <w:p w14:paraId="5264FA00"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Тусгай</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мэргэжлийн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дунд</w:t>
            </w:r>
            <w:proofErr w:type="spellEnd"/>
          </w:p>
        </w:tc>
        <w:tc>
          <w:tcPr>
            <w:tcW w:w="1051" w:type="dxa"/>
            <w:noWrap/>
            <w:vAlign w:val="center"/>
            <w:hideMark/>
          </w:tcPr>
          <w:p w14:paraId="06D7B309"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lang w:val="mn-MN"/>
              </w:rPr>
              <w:t>12</w:t>
            </w:r>
            <w:r w:rsidRPr="00D34DCC">
              <w:rPr>
                <w:rFonts w:ascii="Times New Roman" w:hAnsi="Times New Roman" w:cs="Times New Roman"/>
                <w:color w:val="000000"/>
                <w:sz w:val="24"/>
                <w:szCs w:val="24"/>
              </w:rPr>
              <w:t>%</w:t>
            </w:r>
          </w:p>
        </w:tc>
        <w:tc>
          <w:tcPr>
            <w:tcW w:w="1616" w:type="dxa"/>
            <w:noWrap/>
            <w:vAlign w:val="center"/>
            <w:hideMark/>
          </w:tcPr>
          <w:p w14:paraId="1BFC1C5D"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23%</w:t>
            </w:r>
          </w:p>
        </w:tc>
        <w:tc>
          <w:tcPr>
            <w:tcW w:w="1386" w:type="dxa"/>
            <w:noWrap/>
            <w:vAlign w:val="center"/>
            <w:hideMark/>
          </w:tcPr>
          <w:p w14:paraId="31D8E930"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28%</w:t>
            </w:r>
          </w:p>
        </w:tc>
        <w:tc>
          <w:tcPr>
            <w:tcW w:w="1130" w:type="dxa"/>
            <w:noWrap/>
            <w:vAlign w:val="center"/>
            <w:hideMark/>
          </w:tcPr>
          <w:p w14:paraId="6976A243"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22%</w:t>
            </w:r>
          </w:p>
        </w:tc>
      </w:tr>
      <w:tr w:rsidR="00D34DCC" w:rsidRPr="00D34DCC" w14:paraId="4F221B7B" w14:textId="77777777" w:rsidTr="002C5A6C">
        <w:trPr>
          <w:trHeight w:val="300"/>
          <w:jc w:val="center"/>
        </w:trPr>
        <w:tc>
          <w:tcPr>
            <w:tcW w:w="3014" w:type="dxa"/>
            <w:noWrap/>
            <w:hideMark/>
          </w:tcPr>
          <w:p w14:paraId="1EB30611"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Дипломын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дээд</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ба</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бакалавр</w:t>
            </w:r>
            <w:proofErr w:type="spellEnd"/>
          </w:p>
        </w:tc>
        <w:tc>
          <w:tcPr>
            <w:tcW w:w="1051" w:type="dxa"/>
            <w:noWrap/>
            <w:vAlign w:val="center"/>
            <w:hideMark/>
          </w:tcPr>
          <w:p w14:paraId="54FC8F12"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lang w:val="mn-MN"/>
              </w:rPr>
              <w:t>36</w:t>
            </w:r>
            <w:r w:rsidRPr="00D34DCC">
              <w:rPr>
                <w:rFonts w:ascii="Times New Roman" w:hAnsi="Times New Roman" w:cs="Times New Roman"/>
                <w:color w:val="000000"/>
                <w:sz w:val="24"/>
                <w:szCs w:val="24"/>
              </w:rPr>
              <w:t>%</w:t>
            </w:r>
          </w:p>
        </w:tc>
        <w:tc>
          <w:tcPr>
            <w:tcW w:w="1616" w:type="dxa"/>
            <w:noWrap/>
            <w:vAlign w:val="center"/>
            <w:hideMark/>
          </w:tcPr>
          <w:p w14:paraId="780977A8"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43%</w:t>
            </w:r>
          </w:p>
        </w:tc>
        <w:tc>
          <w:tcPr>
            <w:tcW w:w="1386" w:type="dxa"/>
            <w:noWrap/>
            <w:vAlign w:val="center"/>
            <w:hideMark/>
          </w:tcPr>
          <w:p w14:paraId="1E406B3C"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44%</w:t>
            </w:r>
          </w:p>
        </w:tc>
        <w:tc>
          <w:tcPr>
            <w:tcW w:w="1130" w:type="dxa"/>
            <w:noWrap/>
            <w:vAlign w:val="center"/>
            <w:hideMark/>
          </w:tcPr>
          <w:p w14:paraId="285E925F"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40%</w:t>
            </w:r>
          </w:p>
        </w:tc>
      </w:tr>
      <w:tr w:rsidR="00D34DCC" w:rsidRPr="00D34DCC" w14:paraId="66EE8711" w14:textId="77777777" w:rsidTr="002C5A6C">
        <w:trPr>
          <w:trHeight w:val="300"/>
          <w:jc w:val="center"/>
        </w:trPr>
        <w:tc>
          <w:tcPr>
            <w:tcW w:w="3014" w:type="dxa"/>
            <w:tcBorders>
              <w:bottom w:val="single" w:sz="4" w:space="0" w:color="auto"/>
            </w:tcBorders>
            <w:noWrap/>
            <w:hideMark/>
          </w:tcPr>
          <w:p w14:paraId="6A8516C5"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Дипломын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дараах</w:t>
            </w:r>
            <w:proofErr w:type="spellEnd"/>
          </w:p>
        </w:tc>
        <w:tc>
          <w:tcPr>
            <w:tcW w:w="1051" w:type="dxa"/>
            <w:tcBorders>
              <w:bottom w:val="single" w:sz="4" w:space="0" w:color="auto"/>
            </w:tcBorders>
            <w:noWrap/>
            <w:vAlign w:val="center"/>
            <w:hideMark/>
          </w:tcPr>
          <w:p w14:paraId="0EC782A6"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lang w:val="mn-MN"/>
              </w:rPr>
              <w:t>46</w:t>
            </w:r>
            <w:r w:rsidRPr="00D34DCC">
              <w:rPr>
                <w:rFonts w:ascii="Times New Roman" w:hAnsi="Times New Roman" w:cs="Times New Roman"/>
                <w:color w:val="000000"/>
                <w:sz w:val="24"/>
                <w:szCs w:val="24"/>
              </w:rPr>
              <w:t>%</w:t>
            </w:r>
          </w:p>
        </w:tc>
        <w:tc>
          <w:tcPr>
            <w:tcW w:w="1616" w:type="dxa"/>
            <w:tcBorders>
              <w:bottom w:val="single" w:sz="4" w:space="0" w:color="auto"/>
            </w:tcBorders>
            <w:noWrap/>
            <w:vAlign w:val="center"/>
            <w:hideMark/>
          </w:tcPr>
          <w:p w14:paraId="16EBD02E"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55%</w:t>
            </w:r>
          </w:p>
        </w:tc>
        <w:tc>
          <w:tcPr>
            <w:tcW w:w="1386" w:type="dxa"/>
            <w:tcBorders>
              <w:bottom w:val="single" w:sz="4" w:space="0" w:color="auto"/>
            </w:tcBorders>
            <w:noWrap/>
            <w:vAlign w:val="center"/>
            <w:hideMark/>
          </w:tcPr>
          <w:p w14:paraId="6F9E3F30"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45%</w:t>
            </w:r>
          </w:p>
        </w:tc>
        <w:tc>
          <w:tcPr>
            <w:tcW w:w="1130" w:type="dxa"/>
            <w:tcBorders>
              <w:bottom w:val="single" w:sz="4" w:space="0" w:color="auto"/>
            </w:tcBorders>
            <w:noWrap/>
            <w:vAlign w:val="center"/>
            <w:hideMark/>
          </w:tcPr>
          <w:p w14:paraId="24EB0369" w14:textId="77777777" w:rsidR="00D34DCC" w:rsidRPr="00D34DCC" w:rsidRDefault="00D34DCC" w:rsidP="002C5A6C">
            <w:pPr>
              <w:spacing w:before="60" w:after="60"/>
              <w:jc w:val="both"/>
              <w:rPr>
                <w:rFonts w:ascii="Times New Roman" w:hAnsi="Times New Roman" w:cs="Times New Roman"/>
                <w:color w:val="000000"/>
                <w:sz w:val="24"/>
                <w:szCs w:val="24"/>
              </w:rPr>
            </w:pPr>
            <w:r w:rsidRPr="00D34DCC">
              <w:rPr>
                <w:rFonts w:ascii="Times New Roman" w:hAnsi="Times New Roman" w:cs="Times New Roman"/>
                <w:color w:val="000000"/>
                <w:sz w:val="24"/>
                <w:szCs w:val="24"/>
              </w:rPr>
              <w:t>42%</w:t>
            </w:r>
          </w:p>
        </w:tc>
      </w:tr>
      <w:tr w:rsidR="00D34DCC" w:rsidRPr="00D34DCC" w14:paraId="2ED8F5EC" w14:textId="77777777" w:rsidTr="002C5A6C">
        <w:trPr>
          <w:trHeight w:val="300"/>
          <w:jc w:val="center"/>
        </w:trPr>
        <w:tc>
          <w:tcPr>
            <w:tcW w:w="8197" w:type="dxa"/>
            <w:gridSpan w:val="5"/>
            <w:tcBorders>
              <w:top w:val="single" w:sz="4" w:space="0" w:color="auto"/>
            </w:tcBorders>
            <w:noWrap/>
            <w:hideMark/>
          </w:tcPr>
          <w:p w14:paraId="67C092A8" w14:textId="77777777" w:rsidR="00D34DCC" w:rsidRPr="00D34DCC" w:rsidRDefault="00D34DCC" w:rsidP="002C5A6C">
            <w:pPr>
              <w:jc w:val="both"/>
              <w:rPr>
                <w:rFonts w:ascii="Times New Roman" w:eastAsia="Times New Roman" w:hAnsi="Times New Roman" w:cs="Times New Roman"/>
                <w:b/>
                <w:i/>
                <w:color w:val="000000"/>
                <w:sz w:val="24"/>
                <w:szCs w:val="24"/>
              </w:rPr>
            </w:pPr>
            <w:r w:rsidRPr="00D34DCC">
              <w:rPr>
                <w:rFonts w:ascii="Times New Roman" w:eastAsia="Times New Roman" w:hAnsi="Times New Roman" w:cs="Times New Roman"/>
                <w:b/>
                <w:i/>
                <w:color w:val="000000"/>
                <w:sz w:val="24"/>
                <w:szCs w:val="24"/>
              </w:rPr>
              <w:t>N = 13 504</w:t>
            </w:r>
          </w:p>
          <w:p w14:paraId="61C71E0E" w14:textId="77777777" w:rsidR="00D34DCC" w:rsidRPr="00D34DCC" w:rsidRDefault="00D34DCC" w:rsidP="002C5A6C">
            <w:pPr>
              <w:jc w:val="both"/>
              <w:rPr>
                <w:rFonts w:ascii="Times New Roman" w:eastAsia="Times New Roman" w:hAnsi="Times New Roman" w:cs="Times New Roman"/>
                <w:b/>
                <w:color w:val="000000"/>
                <w:sz w:val="24"/>
                <w:szCs w:val="24"/>
                <w:lang w:val="mn-MN"/>
              </w:rPr>
            </w:pPr>
            <w:r w:rsidRPr="00D34DCC">
              <w:rPr>
                <w:rFonts w:ascii="Times New Roman" w:eastAsia="Times New Roman" w:hAnsi="Times New Roman" w:cs="Times New Roman"/>
                <w:b/>
                <w:i/>
                <w:color w:val="000000"/>
                <w:sz w:val="24"/>
                <w:szCs w:val="24"/>
                <w:lang w:val="mn-MN"/>
              </w:rPr>
              <w:t xml:space="preserve">Тэмдэглэл: </w:t>
            </w:r>
            <w:r w:rsidRPr="00D34DCC">
              <w:rPr>
                <w:rFonts w:ascii="Times New Roman" w:eastAsia="Times New Roman" w:hAnsi="Times New Roman" w:cs="Times New Roman"/>
                <w:b/>
                <w:color w:val="000000"/>
                <w:sz w:val="24"/>
                <w:szCs w:val="24"/>
                <w:lang w:val="mn-MN"/>
              </w:rPr>
              <w:t xml:space="preserve">Энэ хүснэгт тухайн хүн нас чацуу, адил хүйсийн, ижил суурьшлын хүнтэй харьцуулахад цалин нь дунджаар хэдэн хувь зөрүүтэй </w:t>
            </w:r>
            <w:r w:rsidRPr="00D34DCC">
              <w:rPr>
                <w:rFonts w:ascii="Times New Roman" w:eastAsia="Times New Roman" w:hAnsi="Times New Roman" w:cs="Times New Roman"/>
                <w:b/>
                <w:color w:val="000000"/>
                <w:sz w:val="24"/>
                <w:szCs w:val="24"/>
                <w:lang w:val="mn-MN"/>
              </w:rPr>
              <w:lastRenderedPageBreak/>
              <w:t xml:space="preserve">байхыг харуулна. Бүх хувьсагч 99%-ийн итгэх түвшинд статистикийн хувьд ач холбогдолтой. </w:t>
            </w:r>
          </w:p>
        </w:tc>
      </w:tr>
    </w:tbl>
    <w:p w14:paraId="545F3BB8" w14:textId="77777777" w:rsidR="00D34DCC" w:rsidRPr="00D34DCC" w:rsidRDefault="00D34DCC" w:rsidP="00D34DCC">
      <w:pPr>
        <w:jc w:val="both"/>
        <w:rPr>
          <w:rFonts w:ascii="Times New Roman" w:hAnsi="Times New Roman" w:cs="Times New Roman"/>
          <w:i/>
          <w:sz w:val="24"/>
          <w:szCs w:val="24"/>
          <w:lang w:val="mn-MN"/>
        </w:rPr>
      </w:pPr>
    </w:p>
    <w:p w14:paraId="6482EBA4"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 xml:space="preserve">Эндээс үзэхэд, байршлаасаа хамаараад боловсролын үр өгөөж харилцан адилгүй байна. Тухайлбал, Улаанбаатарт дээд боловсролын үр өгөөж бүрэн дунд боловсролын үр өгөөжтэй харьцуулахад 36% буюу улсын дунджаас харьцангуй бага байхад аймгийн төв, сумын төвд энэ зөрүү харьцангуй их байна. Сумандаа бага, дунд сургууль төгссөн хүмүүсийн цалин бага учраас дээд боловсрол нь илүү өгөөжтэй гэж харагдаж байна. Мөн бүрэн дунд боловсролын үр өгөөж бүрэн дундаас доош боловсролтой иргэдтэй харьцуулахад нийслэлд хамгийн бага байхад орон нутагт харьцангуй өндөр байна. </w:t>
      </w:r>
    </w:p>
    <w:p w14:paraId="0D96DEB4" w14:textId="77777777" w:rsidR="00D34DCC" w:rsidRPr="00D34DCC" w:rsidRDefault="00D34DCC" w:rsidP="00D34DCC">
      <w:pPr>
        <w:jc w:val="both"/>
        <w:rPr>
          <w:rFonts w:ascii="Times New Roman" w:hAnsi="Times New Roman" w:cs="Times New Roman"/>
          <w:sz w:val="24"/>
          <w:szCs w:val="24"/>
          <w:lang w:val="mn-MN"/>
        </w:rPr>
      </w:pPr>
    </w:p>
    <w:p w14:paraId="6FEA56FC" w14:textId="77777777" w:rsidR="00D34DCC" w:rsidRPr="00D34DCC" w:rsidRDefault="00D34DCC" w:rsidP="00D34DCC">
      <w:pPr>
        <w:jc w:val="both"/>
        <w:rPr>
          <w:rFonts w:ascii="Times New Roman" w:hAnsi="Times New Roman" w:cs="Times New Roman"/>
          <w:b/>
          <w:sz w:val="24"/>
          <w:szCs w:val="24"/>
          <w:lang w:val="mn-MN"/>
        </w:rPr>
      </w:pPr>
      <w:r w:rsidRPr="00D34DCC">
        <w:rPr>
          <w:rFonts w:ascii="Times New Roman" w:hAnsi="Times New Roman" w:cs="Times New Roman"/>
          <w:b/>
          <w:sz w:val="24"/>
          <w:szCs w:val="24"/>
          <w:lang w:val="mn-MN"/>
        </w:rPr>
        <w:t>Шилжилт хөдөлгөөн</w:t>
      </w:r>
    </w:p>
    <w:p w14:paraId="0C17F936"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Иргэдийн шилжилт хөдөлгөөнийг боловсролтой нь харьцуулж авч үзье. Сүүлийн 5 жилд, 6 сараас дээш хугацаагаар одоогийн амьдарч байгаа газраасаа өөр газар амьдарч байсан иргэдийн эзлэх хувийг харахад, боловсролын түвшин дээшлэх тусам тухайн иргэний шилжих магадлал өндөр байна. Харин энэхүү шилжих хөдөлгөөний хувьд хүйсээс хамаарсан ялгаа төдийлөн ажиглагдаагүй. Гэхдээ боловсролоос хамаарсан шилжих хөдөлгөөн нь залуучууд их, дээд сургуульд сурахын тулд томоохон хот суурин руу шилжсэн нэг удаагийн нүүдэлтэй холбоотой байж болох юм.</w:t>
      </w:r>
      <w:bookmarkStart w:id="10" w:name="_Toc437220575"/>
    </w:p>
    <w:p w14:paraId="0EC0433E" w14:textId="77777777" w:rsidR="00D34DCC" w:rsidRPr="00D34DCC" w:rsidRDefault="00D34DCC" w:rsidP="00D34DCC">
      <w:pPr>
        <w:jc w:val="both"/>
        <w:rPr>
          <w:rFonts w:ascii="Times New Roman" w:hAnsi="Times New Roman" w:cs="Times New Roman"/>
          <w:sz w:val="24"/>
          <w:szCs w:val="24"/>
        </w:rPr>
      </w:pPr>
    </w:p>
    <w:p w14:paraId="00E064F7" w14:textId="77777777" w:rsidR="00D34DCC" w:rsidRPr="00D34DCC" w:rsidRDefault="00D34DCC" w:rsidP="00D34DCC">
      <w:pPr>
        <w:pStyle w:val="Caption"/>
        <w:jc w:val="both"/>
        <w:rPr>
          <w:rFonts w:cs="Times New Roman"/>
          <w:b w:val="0"/>
          <w:i/>
          <w:sz w:val="24"/>
          <w:szCs w:val="24"/>
          <w:lang w:val="mn-MN"/>
        </w:rPr>
      </w:pPr>
      <w:r w:rsidRPr="00D34DCC">
        <w:rPr>
          <w:rFonts w:cs="Times New Roman"/>
          <w:b w:val="0"/>
          <w:sz w:val="24"/>
          <w:szCs w:val="24"/>
        </w:rPr>
        <w:t>ХҮСНЭГТ</w:t>
      </w:r>
      <w:r w:rsidRPr="00D34DCC">
        <w:rPr>
          <w:rFonts w:cs="Times New Roman"/>
          <w:b w:val="0"/>
          <w:sz w:val="24"/>
          <w:szCs w:val="24"/>
          <w:lang w:val="mn-MN"/>
        </w:rPr>
        <w:t xml:space="preserve"> </w:t>
      </w:r>
      <w:r w:rsidRPr="00D34DCC">
        <w:rPr>
          <w:rFonts w:cs="Times New Roman"/>
          <w:b w:val="0"/>
          <w:i/>
          <w:sz w:val="24"/>
          <w:szCs w:val="24"/>
        </w:rPr>
        <w:fldChar w:fldCharType="begin"/>
      </w:r>
      <w:r w:rsidRPr="00D34DCC">
        <w:rPr>
          <w:rFonts w:cs="Times New Roman"/>
          <w:b w:val="0"/>
          <w:sz w:val="24"/>
          <w:szCs w:val="24"/>
        </w:rPr>
        <w:instrText xml:space="preserve"> SEQ Хүснэгт \* ARABIC </w:instrText>
      </w:r>
      <w:r w:rsidRPr="00D34DCC">
        <w:rPr>
          <w:rFonts w:cs="Times New Roman"/>
          <w:b w:val="0"/>
          <w:i/>
          <w:sz w:val="24"/>
          <w:szCs w:val="24"/>
        </w:rPr>
        <w:fldChar w:fldCharType="separate"/>
      </w:r>
      <w:r w:rsidRPr="00D34DCC">
        <w:rPr>
          <w:rFonts w:cs="Times New Roman"/>
          <w:b w:val="0"/>
          <w:noProof/>
          <w:sz w:val="24"/>
          <w:szCs w:val="24"/>
        </w:rPr>
        <w:t>7</w:t>
      </w:r>
      <w:r w:rsidRPr="00D34DCC">
        <w:rPr>
          <w:rFonts w:cs="Times New Roman"/>
          <w:b w:val="0"/>
          <w:i/>
          <w:noProof/>
          <w:sz w:val="24"/>
          <w:szCs w:val="24"/>
        </w:rPr>
        <w:fldChar w:fldCharType="end"/>
      </w:r>
      <w:r w:rsidRPr="00D34DCC">
        <w:rPr>
          <w:rFonts w:cs="Times New Roman"/>
          <w:b w:val="0"/>
          <w:sz w:val="24"/>
          <w:szCs w:val="24"/>
          <w:lang w:val="mn-MN"/>
        </w:rPr>
        <w:t>. ШИЛЖИЖ ИРЭГСДИЙН ЭЗЛЭХ ХУВЬ</w:t>
      </w:r>
      <w:bookmarkEnd w:id="10"/>
    </w:p>
    <w:tbl>
      <w:tblPr>
        <w:tblW w:w="7992" w:type="dxa"/>
        <w:jc w:val="center"/>
        <w:tblLook w:val="04A0" w:firstRow="1" w:lastRow="0" w:firstColumn="1" w:lastColumn="0" w:noHBand="0" w:noVBand="1"/>
      </w:tblPr>
      <w:tblGrid>
        <w:gridCol w:w="3150"/>
        <w:gridCol w:w="1101"/>
        <w:gridCol w:w="1145"/>
        <w:gridCol w:w="1202"/>
        <w:gridCol w:w="1394"/>
      </w:tblGrid>
      <w:tr w:rsidR="00D34DCC" w:rsidRPr="00D34DCC" w14:paraId="10AB252C" w14:textId="77777777" w:rsidTr="002C5A6C">
        <w:trPr>
          <w:trHeight w:val="300"/>
          <w:jc w:val="center"/>
        </w:trPr>
        <w:tc>
          <w:tcPr>
            <w:tcW w:w="3150" w:type="dxa"/>
            <w:tcBorders>
              <w:top w:val="single" w:sz="4" w:space="0" w:color="auto"/>
              <w:left w:val="nil"/>
              <w:bottom w:val="single" w:sz="4" w:space="0" w:color="auto"/>
              <w:right w:val="nil"/>
            </w:tcBorders>
            <w:noWrap/>
            <w:hideMark/>
          </w:tcPr>
          <w:p w14:paraId="3B8DF720" w14:textId="77777777" w:rsidR="00D34DCC" w:rsidRPr="00D34DCC" w:rsidRDefault="00D34DCC" w:rsidP="002C5A6C">
            <w:pPr>
              <w:jc w:val="both"/>
              <w:rPr>
                <w:rFonts w:ascii="Times New Roman" w:eastAsia="Times New Roman" w:hAnsi="Times New Roman" w:cs="Times New Roman"/>
                <w:color w:val="000000"/>
                <w:sz w:val="24"/>
                <w:szCs w:val="24"/>
              </w:rPr>
            </w:pPr>
          </w:p>
        </w:tc>
        <w:tc>
          <w:tcPr>
            <w:tcW w:w="1092" w:type="dxa"/>
            <w:tcBorders>
              <w:top w:val="single" w:sz="4" w:space="0" w:color="auto"/>
              <w:left w:val="nil"/>
              <w:bottom w:val="single" w:sz="4" w:space="0" w:color="auto"/>
              <w:right w:val="nil"/>
            </w:tcBorders>
            <w:noWrap/>
            <w:vAlign w:val="center"/>
            <w:hideMark/>
          </w:tcPr>
          <w:p w14:paraId="504E6496" w14:textId="77777777" w:rsidR="00D34DCC" w:rsidRPr="00D34DCC" w:rsidRDefault="00D34DCC" w:rsidP="002C5A6C">
            <w:pPr>
              <w:jc w:val="both"/>
              <w:rPr>
                <w:rFonts w:ascii="Times New Roman" w:eastAsia="Times New Roman" w:hAnsi="Times New Roman" w:cs="Times New Roman"/>
                <w:b/>
                <w:i/>
                <w:color w:val="000000"/>
                <w:sz w:val="24"/>
                <w:szCs w:val="24"/>
              </w:rPr>
            </w:pPr>
            <w:proofErr w:type="spellStart"/>
            <w:r w:rsidRPr="00D34DCC">
              <w:rPr>
                <w:rFonts w:ascii="Times New Roman" w:eastAsia="Times New Roman" w:hAnsi="Times New Roman" w:cs="Times New Roman"/>
                <w:b/>
                <w:i/>
                <w:color w:val="000000"/>
                <w:sz w:val="24"/>
                <w:szCs w:val="24"/>
              </w:rPr>
              <w:t>Эрэгтэй</w:t>
            </w:r>
            <w:proofErr w:type="spellEnd"/>
          </w:p>
        </w:tc>
        <w:tc>
          <w:tcPr>
            <w:tcW w:w="1125" w:type="dxa"/>
            <w:tcBorders>
              <w:top w:val="single" w:sz="4" w:space="0" w:color="auto"/>
              <w:left w:val="nil"/>
              <w:bottom w:val="single" w:sz="4" w:space="0" w:color="auto"/>
              <w:right w:val="nil"/>
            </w:tcBorders>
            <w:noWrap/>
            <w:vAlign w:val="center"/>
            <w:hideMark/>
          </w:tcPr>
          <w:p w14:paraId="6A75AB40" w14:textId="77777777" w:rsidR="00D34DCC" w:rsidRPr="00D34DCC" w:rsidRDefault="00D34DCC" w:rsidP="002C5A6C">
            <w:pPr>
              <w:jc w:val="both"/>
              <w:rPr>
                <w:rFonts w:ascii="Times New Roman" w:eastAsia="Times New Roman" w:hAnsi="Times New Roman" w:cs="Times New Roman"/>
                <w:b/>
                <w:i/>
                <w:color w:val="000000"/>
                <w:sz w:val="24"/>
                <w:szCs w:val="24"/>
              </w:rPr>
            </w:pPr>
            <w:proofErr w:type="spellStart"/>
            <w:r w:rsidRPr="00D34DCC">
              <w:rPr>
                <w:rFonts w:ascii="Times New Roman" w:eastAsia="Times New Roman" w:hAnsi="Times New Roman" w:cs="Times New Roman"/>
                <w:b/>
                <w:i/>
                <w:color w:val="000000"/>
                <w:sz w:val="24"/>
                <w:szCs w:val="24"/>
              </w:rPr>
              <w:t>Эмэгтэй</w:t>
            </w:r>
            <w:proofErr w:type="spellEnd"/>
          </w:p>
        </w:tc>
        <w:tc>
          <w:tcPr>
            <w:tcW w:w="1202" w:type="dxa"/>
            <w:tcBorders>
              <w:top w:val="single" w:sz="4" w:space="0" w:color="auto"/>
              <w:left w:val="nil"/>
              <w:bottom w:val="single" w:sz="4" w:space="0" w:color="auto"/>
              <w:right w:val="nil"/>
            </w:tcBorders>
            <w:noWrap/>
            <w:vAlign w:val="center"/>
            <w:hideMark/>
          </w:tcPr>
          <w:p w14:paraId="3F37B182" w14:textId="77777777" w:rsidR="00D34DCC" w:rsidRPr="00D34DCC" w:rsidRDefault="00D34DCC" w:rsidP="002C5A6C">
            <w:pPr>
              <w:jc w:val="both"/>
              <w:rPr>
                <w:rFonts w:ascii="Times New Roman" w:eastAsia="Times New Roman" w:hAnsi="Times New Roman" w:cs="Times New Roman"/>
                <w:b/>
                <w:i/>
                <w:color w:val="000000"/>
                <w:sz w:val="24"/>
                <w:szCs w:val="24"/>
              </w:rPr>
            </w:pPr>
            <w:proofErr w:type="spellStart"/>
            <w:r w:rsidRPr="00D34DCC">
              <w:rPr>
                <w:rFonts w:ascii="Times New Roman" w:eastAsia="Times New Roman" w:hAnsi="Times New Roman" w:cs="Times New Roman"/>
                <w:b/>
                <w:i/>
                <w:color w:val="000000"/>
                <w:sz w:val="24"/>
                <w:szCs w:val="24"/>
              </w:rPr>
              <w:t>Нийт</w:t>
            </w:r>
            <w:proofErr w:type="spellEnd"/>
          </w:p>
        </w:tc>
        <w:tc>
          <w:tcPr>
            <w:tcW w:w="1423" w:type="dxa"/>
            <w:tcBorders>
              <w:top w:val="single" w:sz="4" w:space="0" w:color="auto"/>
              <w:left w:val="nil"/>
              <w:bottom w:val="single" w:sz="4" w:space="0" w:color="auto"/>
              <w:right w:val="nil"/>
            </w:tcBorders>
            <w:vAlign w:val="center"/>
          </w:tcPr>
          <w:p w14:paraId="56A19A59" w14:textId="77777777" w:rsidR="00D34DCC" w:rsidRPr="00D34DCC" w:rsidRDefault="00D34DCC" w:rsidP="002C5A6C">
            <w:pPr>
              <w:jc w:val="both"/>
              <w:rPr>
                <w:rFonts w:ascii="Times New Roman" w:eastAsia="Times New Roman" w:hAnsi="Times New Roman" w:cs="Times New Roman"/>
                <w:b/>
                <w:i/>
                <w:color w:val="000000"/>
                <w:sz w:val="24"/>
                <w:szCs w:val="24"/>
                <w:lang w:val="mn-MN"/>
              </w:rPr>
            </w:pPr>
            <w:r w:rsidRPr="00D34DCC">
              <w:rPr>
                <w:rFonts w:ascii="Times New Roman" w:eastAsia="Times New Roman" w:hAnsi="Times New Roman" w:cs="Times New Roman"/>
                <w:b/>
                <w:i/>
                <w:color w:val="000000"/>
                <w:sz w:val="24"/>
                <w:szCs w:val="24"/>
                <w:lang w:val="mn-MN"/>
              </w:rPr>
              <w:t>35-аас дээш насны</w:t>
            </w:r>
          </w:p>
        </w:tc>
      </w:tr>
      <w:tr w:rsidR="00D34DCC" w:rsidRPr="00D34DCC" w14:paraId="646724B8" w14:textId="77777777" w:rsidTr="002C5A6C">
        <w:trPr>
          <w:trHeight w:val="300"/>
          <w:jc w:val="center"/>
        </w:trPr>
        <w:tc>
          <w:tcPr>
            <w:tcW w:w="3150" w:type="dxa"/>
            <w:tcBorders>
              <w:top w:val="single" w:sz="4" w:space="0" w:color="auto"/>
              <w:left w:val="nil"/>
              <w:bottom w:val="nil"/>
              <w:right w:val="nil"/>
            </w:tcBorders>
            <w:noWrap/>
            <w:hideMark/>
          </w:tcPr>
          <w:p w14:paraId="10BDBE7D"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Бүрэн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дундаас</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доош</w:t>
            </w:r>
            <w:proofErr w:type="spellEnd"/>
          </w:p>
        </w:tc>
        <w:tc>
          <w:tcPr>
            <w:tcW w:w="1092" w:type="dxa"/>
            <w:tcBorders>
              <w:top w:val="single" w:sz="4" w:space="0" w:color="auto"/>
              <w:left w:val="nil"/>
              <w:bottom w:val="nil"/>
              <w:right w:val="nil"/>
            </w:tcBorders>
            <w:noWrap/>
            <w:vAlign w:val="center"/>
            <w:hideMark/>
          </w:tcPr>
          <w:p w14:paraId="5A41690C"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3.6%</w:t>
            </w:r>
          </w:p>
        </w:tc>
        <w:tc>
          <w:tcPr>
            <w:tcW w:w="1125" w:type="dxa"/>
            <w:tcBorders>
              <w:top w:val="single" w:sz="4" w:space="0" w:color="auto"/>
              <w:left w:val="nil"/>
              <w:bottom w:val="nil"/>
              <w:right w:val="nil"/>
            </w:tcBorders>
            <w:noWrap/>
            <w:vAlign w:val="center"/>
            <w:hideMark/>
          </w:tcPr>
          <w:p w14:paraId="1A67CE93"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3.0%</w:t>
            </w:r>
          </w:p>
        </w:tc>
        <w:tc>
          <w:tcPr>
            <w:tcW w:w="1202" w:type="dxa"/>
            <w:tcBorders>
              <w:top w:val="single" w:sz="4" w:space="0" w:color="auto"/>
              <w:left w:val="nil"/>
              <w:bottom w:val="nil"/>
              <w:right w:val="nil"/>
            </w:tcBorders>
            <w:noWrap/>
            <w:vAlign w:val="center"/>
            <w:hideMark/>
          </w:tcPr>
          <w:p w14:paraId="1B6C8F62"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3.3%</w:t>
            </w:r>
          </w:p>
        </w:tc>
        <w:tc>
          <w:tcPr>
            <w:tcW w:w="1423" w:type="dxa"/>
            <w:tcBorders>
              <w:top w:val="single" w:sz="4" w:space="0" w:color="auto"/>
              <w:left w:val="nil"/>
              <w:bottom w:val="nil"/>
              <w:right w:val="nil"/>
            </w:tcBorders>
            <w:vAlign w:val="center"/>
          </w:tcPr>
          <w:p w14:paraId="2EC55BFF"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2.2%</w:t>
            </w:r>
          </w:p>
        </w:tc>
      </w:tr>
      <w:tr w:rsidR="00D34DCC" w:rsidRPr="00D34DCC" w14:paraId="7D89A5D7" w14:textId="77777777" w:rsidTr="002C5A6C">
        <w:trPr>
          <w:trHeight w:val="300"/>
          <w:jc w:val="center"/>
        </w:trPr>
        <w:tc>
          <w:tcPr>
            <w:tcW w:w="3150" w:type="dxa"/>
            <w:tcBorders>
              <w:top w:val="nil"/>
              <w:left w:val="nil"/>
              <w:bottom w:val="nil"/>
              <w:right w:val="nil"/>
            </w:tcBorders>
            <w:noWrap/>
            <w:hideMark/>
          </w:tcPr>
          <w:p w14:paraId="63F893F0"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Бүрэн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дунд</w:t>
            </w:r>
            <w:proofErr w:type="spellEnd"/>
          </w:p>
        </w:tc>
        <w:tc>
          <w:tcPr>
            <w:tcW w:w="1092" w:type="dxa"/>
            <w:tcBorders>
              <w:top w:val="nil"/>
              <w:left w:val="nil"/>
              <w:bottom w:val="nil"/>
              <w:right w:val="nil"/>
            </w:tcBorders>
            <w:noWrap/>
            <w:vAlign w:val="center"/>
            <w:hideMark/>
          </w:tcPr>
          <w:p w14:paraId="52504A02"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8.5%</w:t>
            </w:r>
          </w:p>
        </w:tc>
        <w:tc>
          <w:tcPr>
            <w:tcW w:w="1125" w:type="dxa"/>
            <w:tcBorders>
              <w:top w:val="nil"/>
              <w:left w:val="nil"/>
              <w:bottom w:val="nil"/>
              <w:right w:val="nil"/>
            </w:tcBorders>
            <w:noWrap/>
            <w:vAlign w:val="center"/>
            <w:hideMark/>
          </w:tcPr>
          <w:p w14:paraId="6D34172D"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8.2%</w:t>
            </w:r>
          </w:p>
        </w:tc>
        <w:tc>
          <w:tcPr>
            <w:tcW w:w="1202" w:type="dxa"/>
            <w:tcBorders>
              <w:top w:val="nil"/>
              <w:left w:val="nil"/>
              <w:bottom w:val="nil"/>
              <w:right w:val="nil"/>
            </w:tcBorders>
            <w:noWrap/>
            <w:vAlign w:val="center"/>
            <w:hideMark/>
          </w:tcPr>
          <w:p w14:paraId="0269FB22"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8.3%</w:t>
            </w:r>
          </w:p>
        </w:tc>
        <w:tc>
          <w:tcPr>
            <w:tcW w:w="1423" w:type="dxa"/>
            <w:tcBorders>
              <w:top w:val="nil"/>
              <w:left w:val="nil"/>
              <w:bottom w:val="nil"/>
              <w:right w:val="nil"/>
            </w:tcBorders>
            <w:vAlign w:val="center"/>
          </w:tcPr>
          <w:p w14:paraId="36D3FC7A"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4.2%</w:t>
            </w:r>
          </w:p>
        </w:tc>
      </w:tr>
      <w:tr w:rsidR="00D34DCC" w:rsidRPr="00D34DCC" w14:paraId="67B64561" w14:textId="77777777" w:rsidTr="002C5A6C">
        <w:trPr>
          <w:trHeight w:val="300"/>
          <w:jc w:val="center"/>
        </w:trPr>
        <w:tc>
          <w:tcPr>
            <w:tcW w:w="3150" w:type="dxa"/>
            <w:tcBorders>
              <w:top w:val="nil"/>
              <w:left w:val="nil"/>
              <w:bottom w:val="nil"/>
              <w:right w:val="nil"/>
            </w:tcBorders>
            <w:noWrap/>
            <w:hideMark/>
          </w:tcPr>
          <w:p w14:paraId="24AC31ED"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Техник</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мэргэжлийн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дунд</w:t>
            </w:r>
            <w:proofErr w:type="spellEnd"/>
          </w:p>
        </w:tc>
        <w:tc>
          <w:tcPr>
            <w:tcW w:w="1092" w:type="dxa"/>
            <w:tcBorders>
              <w:top w:val="nil"/>
              <w:left w:val="nil"/>
              <w:bottom w:val="nil"/>
              <w:right w:val="nil"/>
            </w:tcBorders>
            <w:noWrap/>
            <w:vAlign w:val="center"/>
            <w:hideMark/>
          </w:tcPr>
          <w:p w14:paraId="7D041E7F"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7.4%</w:t>
            </w:r>
          </w:p>
        </w:tc>
        <w:tc>
          <w:tcPr>
            <w:tcW w:w="1125" w:type="dxa"/>
            <w:tcBorders>
              <w:top w:val="nil"/>
              <w:left w:val="nil"/>
              <w:bottom w:val="nil"/>
              <w:right w:val="nil"/>
            </w:tcBorders>
            <w:noWrap/>
            <w:vAlign w:val="center"/>
            <w:hideMark/>
          </w:tcPr>
          <w:p w14:paraId="2212E054"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6.9%</w:t>
            </w:r>
          </w:p>
        </w:tc>
        <w:tc>
          <w:tcPr>
            <w:tcW w:w="1202" w:type="dxa"/>
            <w:tcBorders>
              <w:top w:val="nil"/>
              <w:left w:val="nil"/>
              <w:bottom w:val="nil"/>
              <w:right w:val="nil"/>
            </w:tcBorders>
            <w:noWrap/>
            <w:vAlign w:val="center"/>
            <w:hideMark/>
          </w:tcPr>
          <w:p w14:paraId="4934C976"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7.2%</w:t>
            </w:r>
          </w:p>
        </w:tc>
        <w:tc>
          <w:tcPr>
            <w:tcW w:w="1423" w:type="dxa"/>
            <w:tcBorders>
              <w:top w:val="nil"/>
              <w:left w:val="nil"/>
              <w:bottom w:val="nil"/>
              <w:right w:val="nil"/>
            </w:tcBorders>
            <w:vAlign w:val="center"/>
          </w:tcPr>
          <w:p w14:paraId="092190A2"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5.1%</w:t>
            </w:r>
          </w:p>
        </w:tc>
      </w:tr>
      <w:tr w:rsidR="00D34DCC" w:rsidRPr="00D34DCC" w14:paraId="3B4F0041" w14:textId="77777777" w:rsidTr="002C5A6C">
        <w:trPr>
          <w:trHeight w:val="300"/>
          <w:jc w:val="center"/>
        </w:trPr>
        <w:tc>
          <w:tcPr>
            <w:tcW w:w="3150" w:type="dxa"/>
            <w:tcBorders>
              <w:top w:val="nil"/>
              <w:left w:val="nil"/>
              <w:bottom w:val="nil"/>
              <w:right w:val="nil"/>
            </w:tcBorders>
            <w:noWrap/>
            <w:hideMark/>
          </w:tcPr>
          <w:p w14:paraId="569092B9"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Тусгай</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мэргэжлийн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дунд</w:t>
            </w:r>
            <w:proofErr w:type="spellEnd"/>
          </w:p>
        </w:tc>
        <w:tc>
          <w:tcPr>
            <w:tcW w:w="1092" w:type="dxa"/>
            <w:tcBorders>
              <w:top w:val="nil"/>
              <w:left w:val="nil"/>
              <w:bottom w:val="nil"/>
              <w:right w:val="nil"/>
            </w:tcBorders>
            <w:noWrap/>
            <w:vAlign w:val="center"/>
            <w:hideMark/>
          </w:tcPr>
          <w:p w14:paraId="0359A00C"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6.7%</w:t>
            </w:r>
          </w:p>
        </w:tc>
        <w:tc>
          <w:tcPr>
            <w:tcW w:w="1125" w:type="dxa"/>
            <w:tcBorders>
              <w:top w:val="nil"/>
              <w:left w:val="nil"/>
              <w:bottom w:val="nil"/>
              <w:right w:val="nil"/>
            </w:tcBorders>
            <w:noWrap/>
            <w:vAlign w:val="center"/>
            <w:hideMark/>
          </w:tcPr>
          <w:p w14:paraId="205DA1DC"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7.0%</w:t>
            </w:r>
          </w:p>
        </w:tc>
        <w:tc>
          <w:tcPr>
            <w:tcW w:w="1202" w:type="dxa"/>
            <w:tcBorders>
              <w:top w:val="nil"/>
              <w:left w:val="nil"/>
              <w:bottom w:val="nil"/>
              <w:right w:val="nil"/>
            </w:tcBorders>
            <w:noWrap/>
            <w:vAlign w:val="center"/>
            <w:hideMark/>
          </w:tcPr>
          <w:p w14:paraId="431742EC"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6.9%</w:t>
            </w:r>
          </w:p>
        </w:tc>
        <w:tc>
          <w:tcPr>
            <w:tcW w:w="1423" w:type="dxa"/>
            <w:tcBorders>
              <w:top w:val="nil"/>
              <w:left w:val="nil"/>
              <w:bottom w:val="nil"/>
              <w:right w:val="nil"/>
            </w:tcBorders>
            <w:vAlign w:val="center"/>
          </w:tcPr>
          <w:p w14:paraId="6E6F34F1"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6.2%</w:t>
            </w:r>
          </w:p>
        </w:tc>
      </w:tr>
      <w:tr w:rsidR="00D34DCC" w:rsidRPr="00D34DCC" w14:paraId="080343EA" w14:textId="77777777" w:rsidTr="002C5A6C">
        <w:trPr>
          <w:trHeight w:val="300"/>
          <w:jc w:val="center"/>
        </w:trPr>
        <w:tc>
          <w:tcPr>
            <w:tcW w:w="3150" w:type="dxa"/>
            <w:tcBorders>
              <w:top w:val="nil"/>
              <w:left w:val="nil"/>
              <w:bottom w:val="nil"/>
              <w:right w:val="nil"/>
            </w:tcBorders>
            <w:noWrap/>
            <w:hideMark/>
          </w:tcPr>
          <w:p w14:paraId="60C99D72"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Дипломын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дээд</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ба</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бакалавр</w:t>
            </w:r>
            <w:proofErr w:type="spellEnd"/>
          </w:p>
        </w:tc>
        <w:tc>
          <w:tcPr>
            <w:tcW w:w="1092" w:type="dxa"/>
            <w:tcBorders>
              <w:top w:val="nil"/>
              <w:left w:val="nil"/>
              <w:bottom w:val="nil"/>
              <w:right w:val="nil"/>
            </w:tcBorders>
            <w:noWrap/>
            <w:vAlign w:val="center"/>
            <w:hideMark/>
          </w:tcPr>
          <w:p w14:paraId="31AA0478"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15.1%</w:t>
            </w:r>
          </w:p>
        </w:tc>
        <w:tc>
          <w:tcPr>
            <w:tcW w:w="1125" w:type="dxa"/>
            <w:tcBorders>
              <w:top w:val="nil"/>
              <w:left w:val="nil"/>
              <w:bottom w:val="nil"/>
              <w:right w:val="nil"/>
            </w:tcBorders>
            <w:noWrap/>
            <w:vAlign w:val="center"/>
            <w:hideMark/>
          </w:tcPr>
          <w:p w14:paraId="627A3234"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14.9%</w:t>
            </w:r>
          </w:p>
        </w:tc>
        <w:tc>
          <w:tcPr>
            <w:tcW w:w="1202" w:type="dxa"/>
            <w:tcBorders>
              <w:top w:val="nil"/>
              <w:left w:val="nil"/>
              <w:bottom w:val="nil"/>
              <w:right w:val="nil"/>
            </w:tcBorders>
            <w:noWrap/>
            <w:vAlign w:val="center"/>
            <w:hideMark/>
          </w:tcPr>
          <w:p w14:paraId="04E4E117"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15.0%</w:t>
            </w:r>
          </w:p>
        </w:tc>
        <w:tc>
          <w:tcPr>
            <w:tcW w:w="1423" w:type="dxa"/>
            <w:tcBorders>
              <w:top w:val="nil"/>
              <w:left w:val="nil"/>
              <w:bottom w:val="nil"/>
              <w:right w:val="nil"/>
            </w:tcBorders>
            <w:vAlign w:val="center"/>
          </w:tcPr>
          <w:p w14:paraId="5B9BEDEB"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10.0%</w:t>
            </w:r>
          </w:p>
        </w:tc>
      </w:tr>
      <w:tr w:rsidR="00D34DCC" w:rsidRPr="00D34DCC" w14:paraId="1A18E782" w14:textId="77777777" w:rsidTr="002C5A6C">
        <w:trPr>
          <w:trHeight w:val="300"/>
          <w:jc w:val="center"/>
        </w:trPr>
        <w:tc>
          <w:tcPr>
            <w:tcW w:w="3150" w:type="dxa"/>
            <w:tcBorders>
              <w:top w:val="nil"/>
              <w:left w:val="nil"/>
              <w:bottom w:val="single" w:sz="4" w:space="0" w:color="auto"/>
              <w:right w:val="nil"/>
            </w:tcBorders>
            <w:noWrap/>
            <w:hideMark/>
          </w:tcPr>
          <w:p w14:paraId="00511EEF"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Дипломын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дараах</w:t>
            </w:r>
            <w:proofErr w:type="spellEnd"/>
          </w:p>
        </w:tc>
        <w:tc>
          <w:tcPr>
            <w:tcW w:w="1092" w:type="dxa"/>
            <w:tcBorders>
              <w:top w:val="nil"/>
              <w:left w:val="nil"/>
              <w:bottom w:val="single" w:sz="4" w:space="0" w:color="auto"/>
              <w:right w:val="nil"/>
            </w:tcBorders>
            <w:noWrap/>
            <w:vAlign w:val="center"/>
            <w:hideMark/>
          </w:tcPr>
          <w:p w14:paraId="431C6FC5"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20.3%</w:t>
            </w:r>
          </w:p>
        </w:tc>
        <w:tc>
          <w:tcPr>
            <w:tcW w:w="1125" w:type="dxa"/>
            <w:tcBorders>
              <w:top w:val="nil"/>
              <w:left w:val="nil"/>
              <w:bottom w:val="single" w:sz="4" w:space="0" w:color="auto"/>
              <w:right w:val="nil"/>
            </w:tcBorders>
            <w:noWrap/>
            <w:vAlign w:val="center"/>
            <w:hideMark/>
          </w:tcPr>
          <w:p w14:paraId="34F8B435"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21.1%</w:t>
            </w:r>
          </w:p>
        </w:tc>
        <w:tc>
          <w:tcPr>
            <w:tcW w:w="1202" w:type="dxa"/>
            <w:tcBorders>
              <w:top w:val="nil"/>
              <w:left w:val="nil"/>
              <w:bottom w:val="single" w:sz="4" w:space="0" w:color="auto"/>
              <w:right w:val="nil"/>
            </w:tcBorders>
            <w:noWrap/>
            <w:vAlign w:val="center"/>
            <w:hideMark/>
          </w:tcPr>
          <w:p w14:paraId="44261CBC"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20.8%</w:t>
            </w:r>
          </w:p>
        </w:tc>
        <w:tc>
          <w:tcPr>
            <w:tcW w:w="1423" w:type="dxa"/>
            <w:tcBorders>
              <w:top w:val="nil"/>
              <w:left w:val="nil"/>
              <w:bottom w:val="single" w:sz="4" w:space="0" w:color="auto"/>
              <w:right w:val="nil"/>
            </w:tcBorders>
            <w:vAlign w:val="center"/>
          </w:tcPr>
          <w:p w14:paraId="05293D14"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rPr>
              <w:t>20.3%</w:t>
            </w:r>
          </w:p>
        </w:tc>
      </w:tr>
      <w:tr w:rsidR="00D34DCC" w:rsidRPr="00D34DCC" w14:paraId="4FBD2625" w14:textId="77777777" w:rsidTr="002C5A6C">
        <w:trPr>
          <w:trHeight w:val="300"/>
          <w:jc w:val="center"/>
        </w:trPr>
        <w:tc>
          <w:tcPr>
            <w:tcW w:w="7992" w:type="dxa"/>
            <w:gridSpan w:val="5"/>
            <w:tcBorders>
              <w:top w:val="single" w:sz="4" w:space="0" w:color="auto"/>
              <w:left w:val="nil"/>
              <w:bottom w:val="nil"/>
              <w:right w:val="nil"/>
            </w:tcBorders>
            <w:noWrap/>
            <w:hideMark/>
          </w:tcPr>
          <w:p w14:paraId="48762564" w14:textId="77777777" w:rsidR="00D34DCC" w:rsidRPr="00D34DCC" w:rsidRDefault="00D34DCC" w:rsidP="002C5A6C">
            <w:pPr>
              <w:jc w:val="both"/>
              <w:rPr>
                <w:rFonts w:ascii="Times New Roman" w:eastAsia="Times New Roman" w:hAnsi="Times New Roman" w:cs="Times New Roman"/>
                <w:b/>
                <w:i/>
                <w:color w:val="000000"/>
                <w:sz w:val="24"/>
                <w:szCs w:val="24"/>
              </w:rPr>
            </w:pPr>
          </w:p>
          <w:p w14:paraId="77854BE2" w14:textId="77777777" w:rsidR="00D34DCC" w:rsidRPr="00D34DCC" w:rsidRDefault="00D34DCC" w:rsidP="002C5A6C">
            <w:pPr>
              <w:jc w:val="both"/>
              <w:rPr>
                <w:rFonts w:ascii="Times New Roman" w:hAnsi="Times New Roman" w:cs="Times New Roman"/>
                <w:color w:val="000000"/>
                <w:sz w:val="24"/>
                <w:szCs w:val="24"/>
              </w:rPr>
            </w:pPr>
            <w:r w:rsidRPr="00D34DCC">
              <w:rPr>
                <w:rFonts w:ascii="Times New Roman" w:eastAsia="Times New Roman" w:hAnsi="Times New Roman" w:cs="Times New Roman"/>
                <w:b/>
                <w:i/>
                <w:color w:val="000000"/>
                <w:sz w:val="24"/>
                <w:szCs w:val="24"/>
                <w:lang w:val="mn-MN"/>
              </w:rPr>
              <w:lastRenderedPageBreak/>
              <w:t xml:space="preserve">Тэмдэглэл: </w:t>
            </w:r>
            <w:r w:rsidRPr="00D34DCC">
              <w:rPr>
                <w:rFonts w:ascii="Times New Roman" w:eastAsia="Times New Roman" w:hAnsi="Times New Roman" w:cs="Times New Roman"/>
                <w:b/>
                <w:color w:val="000000"/>
                <w:sz w:val="24"/>
                <w:szCs w:val="24"/>
                <w:lang w:val="mn-MN"/>
              </w:rPr>
              <w:t xml:space="preserve">Энэ хүснэгт тухайн түвшний боловсролтой хүмүүсээс хэдэн хувь нь өөр газраас шилжиж ирснийг харуулна. </w:t>
            </w:r>
          </w:p>
        </w:tc>
      </w:tr>
    </w:tbl>
    <w:p w14:paraId="266D3BD3" w14:textId="77777777" w:rsidR="00D34DCC" w:rsidRPr="00D34DCC" w:rsidRDefault="00D34DCC" w:rsidP="00D34DCC">
      <w:pPr>
        <w:jc w:val="both"/>
        <w:rPr>
          <w:rFonts w:ascii="Times New Roman" w:hAnsi="Times New Roman" w:cs="Times New Roman"/>
          <w:sz w:val="24"/>
          <w:szCs w:val="24"/>
        </w:rPr>
      </w:pPr>
    </w:p>
    <w:p w14:paraId="479CD416" w14:textId="77777777" w:rsidR="00D34DCC" w:rsidRPr="00D34DCC" w:rsidRDefault="00D34DCC" w:rsidP="00D34DCC">
      <w:pPr>
        <w:jc w:val="both"/>
        <w:rPr>
          <w:rFonts w:ascii="Times New Roman" w:hAnsi="Times New Roman" w:cs="Times New Roman"/>
          <w:b/>
          <w:sz w:val="24"/>
          <w:szCs w:val="24"/>
        </w:rPr>
      </w:pPr>
      <w:proofErr w:type="spellStart"/>
      <w:r w:rsidRPr="00D34DCC">
        <w:rPr>
          <w:rFonts w:ascii="Times New Roman" w:hAnsi="Times New Roman" w:cs="Times New Roman"/>
          <w:b/>
          <w:sz w:val="24"/>
          <w:szCs w:val="24"/>
        </w:rPr>
        <w:t>Нийслэл</w:t>
      </w:r>
      <w:proofErr w:type="spellEnd"/>
      <w:r w:rsidRPr="00D34DCC">
        <w:rPr>
          <w:rFonts w:ascii="Times New Roman" w:hAnsi="Times New Roman" w:cs="Times New Roman"/>
          <w:b/>
          <w:sz w:val="24"/>
          <w:szCs w:val="24"/>
          <w:lang w:val="mn-MN"/>
        </w:rPr>
        <w:t xml:space="preserve"> </w:t>
      </w:r>
      <w:proofErr w:type="spellStart"/>
      <w:r w:rsidRPr="00D34DCC">
        <w:rPr>
          <w:rFonts w:ascii="Times New Roman" w:hAnsi="Times New Roman" w:cs="Times New Roman"/>
          <w:b/>
          <w:sz w:val="24"/>
          <w:szCs w:val="24"/>
        </w:rPr>
        <w:t>рүү</w:t>
      </w:r>
      <w:proofErr w:type="spellEnd"/>
      <w:r w:rsidRPr="00D34DCC">
        <w:rPr>
          <w:rFonts w:ascii="Times New Roman" w:hAnsi="Times New Roman" w:cs="Times New Roman"/>
          <w:b/>
          <w:sz w:val="24"/>
          <w:szCs w:val="24"/>
          <w:lang w:val="mn-MN"/>
        </w:rPr>
        <w:t xml:space="preserve"> </w:t>
      </w:r>
      <w:proofErr w:type="spellStart"/>
      <w:r w:rsidRPr="00D34DCC">
        <w:rPr>
          <w:rFonts w:ascii="Times New Roman" w:hAnsi="Times New Roman" w:cs="Times New Roman"/>
          <w:b/>
          <w:sz w:val="24"/>
          <w:szCs w:val="24"/>
        </w:rPr>
        <w:t>нүүж</w:t>
      </w:r>
      <w:proofErr w:type="spellEnd"/>
      <w:r w:rsidRPr="00D34DCC">
        <w:rPr>
          <w:rFonts w:ascii="Times New Roman" w:hAnsi="Times New Roman" w:cs="Times New Roman"/>
          <w:b/>
          <w:sz w:val="24"/>
          <w:szCs w:val="24"/>
          <w:lang w:val="mn-MN"/>
        </w:rPr>
        <w:t xml:space="preserve"> </w:t>
      </w:r>
      <w:proofErr w:type="spellStart"/>
      <w:r w:rsidRPr="00D34DCC">
        <w:rPr>
          <w:rFonts w:ascii="Times New Roman" w:hAnsi="Times New Roman" w:cs="Times New Roman"/>
          <w:b/>
          <w:sz w:val="24"/>
          <w:szCs w:val="24"/>
        </w:rPr>
        <w:t>буй</w:t>
      </w:r>
      <w:proofErr w:type="spellEnd"/>
      <w:r w:rsidRPr="00D34DCC">
        <w:rPr>
          <w:rFonts w:ascii="Times New Roman" w:hAnsi="Times New Roman" w:cs="Times New Roman"/>
          <w:b/>
          <w:sz w:val="24"/>
          <w:szCs w:val="24"/>
          <w:lang w:val="mn-MN"/>
        </w:rPr>
        <w:t xml:space="preserve"> </w:t>
      </w:r>
      <w:proofErr w:type="spellStart"/>
      <w:r w:rsidRPr="00D34DCC">
        <w:rPr>
          <w:rFonts w:ascii="Times New Roman" w:hAnsi="Times New Roman" w:cs="Times New Roman"/>
          <w:b/>
          <w:sz w:val="24"/>
          <w:szCs w:val="24"/>
        </w:rPr>
        <w:t>хүмүүсийн</w:t>
      </w:r>
      <w:proofErr w:type="spellEnd"/>
      <w:r w:rsidRPr="00D34DCC">
        <w:rPr>
          <w:rFonts w:ascii="Times New Roman" w:hAnsi="Times New Roman" w:cs="Times New Roman"/>
          <w:b/>
          <w:sz w:val="24"/>
          <w:szCs w:val="24"/>
          <w:lang w:val="mn-MN"/>
        </w:rPr>
        <w:t xml:space="preserve"> </w:t>
      </w:r>
      <w:proofErr w:type="spellStart"/>
      <w:r w:rsidRPr="00D34DCC">
        <w:rPr>
          <w:rFonts w:ascii="Times New Roman" w:hAnsi="Times New Roman" w:cs="Times New Roman"/>
          <w:b/>
          <w:sz w:val="24"/>
          <w:szCs w:val="24"/>
        </w:rPr>
        <w:t>боловсрол</w:t>
      </w:r>
      <w:proofErr w:type="spellEnd"/>
      <w:r w:rsidRPr="00D34DCC">
        <w:rPr>
          <w:rFonts w:ascii="Times New Roman" w:hAnsi="Times New Roman" w:cs="Times New Roman"/>
          <w:b/>
          <w:sz w:val="24"/>
          <w:szCs w:val="24"/>
          <w:lang w:val="mn-MN"/>
        </w:rPr>
        <w:t xml:space="preserve">ын түвшин </w:t>
      </w:r>
      <w:proofErr w:type="spellStart"/>
      <w:r w:rsidRPr="00D34DCC">
        <w:rPr>
          <w:rFonts w:ascii="Times New Roman" w:hAnsi="Times New Roman" w:cs="Times New Roman"/>
          <w:b/>
          <w:sz w:val="24"/>
          <w:szCs w:val="24"/>
        </w:rPr>
        <w:t>хэр</w:t>
      </w:r>
      <w:proofErr w:type="spellEnd"/>
      <w:r w:rsidRPr="00D34DCC">
        <w:rPr>
          <w:rFonts w:ascii="Times New Roman" w:hAnsi="Times New Roman" w:cs="Times New Roman"/>
          <w:b/>
          <w:sz w:val="24"/>
          <w:szCs w:val="24"/>
          <w:lang w:val="mn-MN"/>
        </w:rPr>
        <w:t xml:space="preserve"> өндөр в</w:t>
      </w:r>
      <w:r w:rsidRPr="00D34DCC">
        <w:rPr>
          <w:rFonts w:ascii="Times New Roman" w:hAnsi="Times New Roman" w:cs="Times New Roman"/>
          <w:b/>
          <w:sz w:val="24"/>
          <w:szCs w:val="24"/>
        </w:rPr>
        <w:t>э?</w:t>
      </w:r>
    </w:p>
    <w:p w14:paraId="66811FF0"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rPr>
        <w:t>35-</w:t>
      </w:r>
      <w:r w:rsidRPr="00D34DCC">
        <w:rPr>
          <w:rFonts w:ascii="Times New Roman" w:hAnsi="Times New Roman" w:cs="Times New Roman"/>
          <w:sz w:val="24"/>
          <w:szCs w:val="24"/>
          <w:lang w:val="mn-MN"/>
        </w:rPr>
        <w:t xml:space="preserve">аас дээш насны хүмүүсийн дотор шилжих хөдөлгөөн харьцангуй бага боловч, боловсролын түвшин дээшлэх тусам шилжих магадлал нь өндөр байна. АНУ-ын муж хоорондын нүүдэл нь дээд боловсролтой хүмүүсийн дотор 6 хувь, дунд боловсролтой хүмүүсийн дотор 3 хувь байдаг. Монголд болон бусад оронд ялгаагүй, дээд боловсролтой хүмүүсийн шилжилт хөдөлгөөн илүү өндөр байна. Жишээлбэл, 35-аас дээш насны дээд боловсролтой хүмүүсийн нийслэл хот руу шилжих магадлал бусад түвшний боловсролтой хүмүүстэй харьцуулахад эрс өндөр байна. Харин дунд болон дундаас доош боловсролтой хүмүүс нийслэл хот руу шилжих магадлал харьцангуй бага байдаг ажээ. </w:t>
      </w:r>
    </w:p>
    <w:p w14:paraId="02B33320"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 xml:space="preserve">Бидний судалгаагаар, 35-аас дээш насны нийт хүмүүсийн 3.1% нь нийслэл рүү шилжсэн бол дээд боловсролтой хүмүүсийн 8.1% нь нийслэл рүү шилжжээ. Энэ нь нийслэл хот руу боловсрол багатай иргэд шилждэг гэх хэвшмэл ойлголтыг үгүйсгэж байна. Бидний ажигласнаар, хөдөө орон нутгаас шилжин ирж байгаа сэхээтнүүд Улаанбаатарын ижил түвшний боловсролтой дундаж сэхээтнүүдтэй харьцуулахад илүү өндөр цалинтай ажил хийх хандлагатай байна. Өөрөөр хэлбэл, хөдөөнөөс шилжин ирэгсэд Улаанбаатарын дундаж ажиллагсдын чанарыг өсгөж байна. </w:t>
      </w:r>
    </w:p>
    <w:p w14:paraId="2FBD0C8C" w14:textId="77777777" w:rsidR="00D34DCC" w:rsidRPr="00D34DCC" w:rsidRDefault="00D34DCC" w:rsidP="00D34DCC">
      <w:pPr>
        <w:jc w:val="both"/>
        <w:rPr>
          <w:rFonts w:ascii="Times New Roman" w:hAnsi="Times New Roman" w:cs="Times New Roman"/>
          <w:sz w:val="24"/>
          <w:szCs w:val="24"/>
          <w:lang w:val="mn-MN"/>
        </w:rPr>
      </w:pPr>
    </w:p>
    <w:p w14:paraId="02971A00" w14:textId="77777777" w:rsidR="00D34DCC" w:rsidRPr="00D34DCC" w:rsidRDefault="00D34DCC" w:rsidP="00D34DCC">
      <w:pPr>
        <w:pStyle w:val="Caption"/>
        <w:jc w:val="both"/>
        <w:rPr>
          <w:rFonts w:cs="Times New Roman"/>
          <w:b w:val="0"/>
          <w:sz w:val="24"/>
          <w:szCs w:val="24"/>
          <w:lang w:val="mn-MN"/>
        </w:rPr>
      </w:pPr>
      <w:bookmarkStart w:id="11" w:name="_Toc437220576"/>
      <w:r w:rsidRPr="00D34DCC">
        <w:rPr>
          <w:rFonts w:cs="Times New Roman"/>
          <w:b w:val="0"/>
          <w:sz w:val="24"/>
          <w:szCs w:val="24"/>
        </w:rPr>
        <w:t>ХҮСНЭГТ</w:t>
      </w:r>
      <w:r w:rsidRPr="00D34DCC">
        <w:rPr>
          <w:rFonts w:cs="Times New Roman"/>
          <w:b w:val="0"/>
          <w:sz w:val="24"/>
          <w:szCs w:val="24"/>
          <w:lang w:val="mn-MN"/>
        </w:rPr>
        <w:t xml:space="preserve"> </w:t>
      </w:r>
      <w:r w:rsidRPr="00D34DCC">
        <w:rPr>
          <w:rFonts w:cs="Times New Roman"/>
          <w:b w:val="0"/>
          <w:sz w:val="24"/>
          <w:szCs w:val="24"/>
        </w:rPr>
        <w:fldChar w:fldCharType="begin"/>
      </w:r>
      <w:r w:rsidRPr="00D34DCC">
        <w:rPr>
          <w:rFonts w:cs="Times New Roman"/>
          <w:b w:val="0"/>
          <w:sz w:val="24"/>
          <w:szCs w:val="24"/>
        </w:rPr>
        <w:instrText xml:space="preserve"> SEQ Хүснэгт \* ARABIC </w:instrText>
      </w:r>
      <w:r w:rsidRPr="00D34DCC">
        <w:rPr>
          <w:rFonts w:cs="Times New Roman"/>
          <w:b w:val="0"/>
          <w:sz w:val="24"/>
          <w:szCs w:val="24"/>
        </w:rPr>
        <w:fldChar w:fldCharType="separate"/>
      </w:r>
      <w:r w:rsidRPr="00D34DCC">
        <w:rPr>
          <w:rFonts w:cs="Times New Roman"/>
          <w:b w:val="0"/>
          <w:noProof/>
          <w:sz w:val="24"/>
          <w:szCs w:val="24"/>
        </w:rPr>
        <w:t>8</w:t>
      </w:r>
      <w:r w:rsidRPr="00D34DCC">
        <w:rPr>
          <w:rFonts w:cs="Times New Roman"/>
          <w:b w:val="0"/>
          <w:noProof/>
          <w:sz w:val="24"/>
          <w:szCs w:val="24"/>
        </w:rPr>
        <w:fldChar w:fldCharType="end"/>
      </w:r>
      <w:r w:rsidRPr="00D34DCC">
        <w:rPr>
          <w:rFonts w:cs="Times New Roman"/>
          <w:b w:val="0"/>
          <w:sz w:val="24"/>
          <w:szCs w:val="24"/>
          <w:lang w:val="mn-MN"/>
        </w:rPr>
        <w:t>. ХОТ РУУ ШИЛЖИН ИРЭГСДИЙН ЭЗЛЭХ ХУВЬ</w:t>
      </w:r>
      <w:bookmarkEnd w:id="11"/>
      <w:r w:rsidRPr="00D34DCC">
        <w:rPr>
          <w:rFonts w:cs="Times New Roman"/>
          <w:b w:val="0"/>
          <w:sz w:val="24"/>
          <w:szCs w:val="24"/>
          <w:lang w:val="mn-MN"/>
        </w:rPr>
        <w:t xml:space="preserve">, </w:t>
      </w:r>
      <w:r w:rsidRPr="00D34DCC">
        <w:rPr>
          <w:rFonts w:eastAsia="Times New Roman" w:cs="Times New Roman"/>
          <w:b w:val="0"/>
          <w:color w:val="000000"/>
          <w:sz w:val="24"/>
          <w:szCs w:val="24"/>
          <w:lang w:val="mn-MN"/>
        </w:rPr>
        <w:t>35-ААС ДЭЭШ НАСНЫ ИРГЭД</w:t>
      </w:r>
    </w:p>
    <w:tbl>
      <w:tblPr>
        <w:tblW w:w="4748" w:type="dxa"/>
        <w:jc w:val="center"/>
        <w:tblLook w:val="04A0" w:firstRow="1" w:lastRow="0" w:firstColumn="1" w:lastColumn="0" w:noHBand="0" w:noVBand="1"/>
      </w:tblPr>
      <w:tblGrid>
        <w:gridCol w:w="3236"/>
        <w:gridCol w:w="1512"/>
      </w:tblGrid>
      <w:tr w:rsidR="00D34DCC" w:rsidRPr="00D34DCC" w14:paraId="5FD42D18" w14:textId="77777777" w:rsidTr="002C5A6C">
        <w:trPr>
          <w:trHeight w:val="300"/>
          <w:jc w:val="center"/>
        </w:trPr>
        <w:tc>
          <w:tcPr>
            <w:tcW w:w="3236" w:type="dxa"/>
            <w:tcBorders>
              <w:top w:val="single" w:sz="4" w:space="0" w:color="auto"/>
            </w:tcBorders>
            <w:noWrap/>
            <w:hideMark/>
          </w:tcPr>
          <w:p w14:paraId="79CD32E2"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Бүрэн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дундаас</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доош</w:t>
            </w:r>
            <w:proofErr w:type="spellEnd"/>
          </w:p>
        </w:tc>
        <w:tc>
          <w:tcPr>
            <w:tcW w:w="1512" w:type="dxa"/>
            <w:tcBorders>
              <w:top w:val="single" w:sz="4" w:space="0" w:color="auto"/>
            </w:tcBorders>
            <w:noWrap/>
            <w:vAlign w:val="center"/>
            <w:hideMark/>
          </w:tcPr>
          <w:p w14:paraId="502613D8"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r w:rsidRPr="00D34DCC">
              <w:rPr>
                <w:rFonts w:ascii="Times New Roman" w:eastAsia="Times New Roman" w:hAnsi="Times New Roman" w:cs="Times New Roman"/>
                <w:b/>
                <w:color w:val="000000"/>
                <w:sz w:val="24"/>
                <w:szCs w:val="24"/>
                <w:lang w:val="mn-MN"/>
              </w:rPr>
              <w:t>0</w:t>
            </w:r>
            <w:r w:rsidRPr="00D34DCC">
              <w:rPr>
                <w:rFonts w:ascii="Times New Roman" w:eastAsia="Times New Roman" w:hAnsi="Times New Roman" w:cs="Times New Roman"/>
                <w:b/>
                <w:color w:val="000000"/>
                <w:sz w:val="24"/>
                <w:szCs w:val="24"/>
              </w:rPr>
              <w:t>.</w:t>
            </w:r>
            <w:r w:rsidRPr="00D34DCC">
              <w:rPr>
                <w:rFonts w:ascii="Times New Roman" w:eastAsia="Times New Roman" w:hAnsi="Times New Roman" w:cs="Times New Roman"/>
                <w:b/>
                <w:color w:val="000000"/>
                <w:sz w:val="24"/>
                <w:szCs w:val="24"/>
                <w:lang w:val="mn-MN"/>
              </w:rPr>
              <w:t>1</w:t>
            </w:r>
            <w:r w:rsidRPr="00D34DCC">
              <w:rPr>
                <w:rFonts w:ascii="Times New Roman" w:eastAsia="Times New Roman" w:hAnsi="Times New Roman" w:cs="Times New Roman"/>
                <w:b/>
                <w:color w:val="000000"/>
                <w:sz w:val="24"/>
                <w:szCs w:val="24"/>
              </w:rPr>
              <w:t>%</w:t>
            </w:r>
          </w:p>
        </w:tc>
      </w:tr>
      <w:tr w:rsidR="00D34DCC" w:rsidRPr="00D34DCC" w14:paraId="4EBE3574" w14:textId="77777777" w:rsidTr="002C5A6C">
        <w:trPr>
          <w:trHeight w:val="300"/>
          <w:jc w:val="center"/>
        </w:trPr>
        <w:tc>
          <w:tcPr>
            <w:tcW w:w="3236" w:type="dxa"/>
            <w:noWrap/>
            <w:hideMark/>
          </w:tcPr>
          <w:p w14:paraId="69D2D393"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Бүрэн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дунд</w:t>
            </w:r>
            <w:proofErr w:type="spellEnd"/>
          </w:p>
        </w:tc>
        <w:tc>
          <w:tcPr>
            <w:tcW w:w="1512" w:type="dxa"/>
            <w:noWrap/>
            <w:vAlign w:val="center"/>
            <w:hideMark/>
          </w:tcPr>
          <w:p w14:paraId="580B90C8"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lang w:val="mn-MN"/>
              </w:rPr>
              <w:t>2</w:t>
            </w:r>
            <w:r w:rsidRPr="00D34DCC">
              <w:rPr>
                <w:rFonts w:ascii="Times New Roman" w:eastAsia="Times New Roman" w:hAnsi="Times New Roman" w:cs="Times New Roman"/>
                <w:color w:val="000000"/>
                <w:sz w:val="24"/>
                <w:szCs w:val="24"/>
              </w:rPr>
              <w:t>.</w:t>
            </w:r>
            <w:r w:rsidRPr="00D34DCC">
              <w:rPr>
                <w:rFonts w:ascii="Times New Roman" w:eastAsia="Times New Roman" w:hAnsi="Times New Roman" w:cs="Times New Roman"/>
                <w:color w:val="000000"/>
                <w:sz w:val="24"/>
                <w:szCs w:val="24"/>
                <w:lang w:val="mn-MN"/>
              </w:rPr>
              <w:t>4</w:t>
            </w:r>
            <w:r w:rsidRPr="00D34DCC">
              <w:rPr>
                <w:rFonts w:ascii="Times New Roman" w:eastAsia="Times New Roman" w:hAnsi="Times New Roman" w:cs="Times New Roman"/>
                <w:color w:val="000000"/>
                <w:sz w:val="24"/>
                <w:szCs w:val="24"/>
              </w:rPr>
              <w:t>%</w:t>
            </w:r>
          </w:p>
        </w:tc>
      </w:tr>
      <w:tr w:rsidR="00D34DCC" w:rsidRPr="00D34DCC" w14:paraId="0FEF6362" w14:textId="77777777" w:rsidTr="002C5A6C">
        <w:trPr>
          <w:trHeight w:val="300"/>
          <w:jc w:val="center"/>
        </w:trPr>
        <w:tc>
          <w:tcPr>
            <w:tcW w:w="3236" w:type="dxa"/>
            <w:noWrap/>
            <w:hideMark/>
          </w:tcPr>
          <w:p w14:paraId="72157316"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Техник</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мэргэжлийн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дунд</w:t>
            </w:r>
            <w:proofErr w:type="spellEnd"/>
          </w:p>
        </w:tc>
        <w:tc>
          <w:tcPr>
            <w:tcW w:w="1512" w:type="dxa"/>
            <w:noWrap/>
            <w:vAlign w:val="center"/>
            <w:hideMark/>
          </w:tcPr>
          <w:p w14:paraId="3BED0BED"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lang w:val="mn-MN"/>
              </w:rPr>
              <w:t>2</w:t>
            </w:r>
            <w:r w:rsidRPr="00D34DCC">
              <w:rPr>
                <w:rFonts w:ascii="Times New Roman" w:eastAsia="Times New Roman" w:hAnsi="Times New Roman" w:cs="Times New Roman"/>
                <w:color w:val="000000"/>
                <w:sz w:val="24"/>
                <w:szCs w:val="24"/>
              </w:rPr>
              <w:t>.</w:t>
            </w:r>
            <w:r w:rsidRPr="00D34DCC">
              <w:rPr>
                <w:rFonts w:ascii="Times New Roman" w:eastAsia="Times New Roman" w:hAnsi="Times New Roman" w:cs="Times New Roman"/>
                <w:color w:val="000000"/>
                <w:sz w:val="24"/>
                <w:szCs w:val="24"/>
                <w:lang w:val="mn-MN"/>
              </w:rPr>
              <w:t>4</w:t>
            </w:r>
            <w:r w:rsidRPr="00D34DCC">
              <w:rPr>
                <w:rFonts w:ascii="Times New Roman" w:eastAsia="Times New Roman" w:hAnsi="Times New Roman" w:cs="Times New Roman"/>
                <w:color w:val="000000"/>
                <w:sz w:val="24"/>
                <w:szCs w:val="24"/>
              </w:rPr>
              <w:t>%</w:t>
            </w:r>
          </w:p>
        </w:tc>
      </w:tr>
      <w:tr w:rsidR="00D34DCC" w:rsidRPr="00D34DCC" w14:paraId="1BE87DCE" w14:textId="77777777" w:rsidTr="002C5A6C">
        <w:trPr>
          <w:trHeight w:val="300"/>
          <w:jc w:val="center"/>
        </w:trPr>
        <w:tc>
          <w:tcPr>
            <w:tcW w:w="3236" w:type="dxa"/>
            <w:noWrap/>
            <w:hideMark/>
          </w:tcPr>
          <w:p w14:paraId="6DC469BC"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Тусгай</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мэргэжлийн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дунд</w:t>
            </w:r>
            <w:proofErr w:type="spellEnd"/>
          </w:p>
        </w:tc>
        <w:tc>
          <w:tcPr>
            <w:tcW w:w="1512" w:type="dxa"/>
            <w:noWrap/>
            <w:vAlign w:val="center"/>
            <w:hideMark/>
          </w:tcPr>
          <w:p w14:paraId="231947E9"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lang w:val="mn-MN"/>
              </w:rPr>
              <w:t>3</w:t>
            </w:r>
            <w:r w:rsidRPr="00D34DCC">
              <w:rPr>
                <w:rFonts w:ascii="Times New Roman" w:eastAsia="Times New Roman" w:hAnsi="Times New Roman" w:cs="Times New Roman"/>
                <w:color w:val="000000"/>
                <w:sz w:val="24"/>
                <w:szCs w:val="24"/>
              </w:rPr>
              <w:t>.</w:t>
            </w:r>
            <w:r w:rsidRPr="00D34DCC">
              <w:rPr>
                <w:rFonts w:ascii="Times New Roman" w:eastAsia="Times New Roman" w:hAnsi="Times New Roman" w:cs="Times New Roman"/>
                <w:color w:val="000000"/>
                <w:sz w:val="24"/>
                <w:szCs w:val="24"/>
                <w:lang w:val="mn-MN"/>
              </w:rPr>
              <w:t>4</w:t>
            </w:r>
            <w:r w:rsidRPr="00D34DCC">
              <w:rPr>
                <w:rFonts w:ascii="Times New Roman" w:eastAsia="Times New Roman" w:hAnsi="Times New Roman" w:cs="Times New Roman"/>
                <w:color w:val="000000"/>
                <w:sz w:val="24"/>
                <w:szCs w:val="24"/>
              </w:rPr>
              <w:t>%</w:t>
            </w:r>
          </w:p>
        </w:tc>
      </w:tr>
      <w:tr w:rsidR="00D34DCC" w:rsidRPr="00D34DCC" w14:paraId="1AAAF92C" w14:textId="77777777" w:rsidTr="002C5A6C">
        <w:trPr>
          <w:trHeight w:val="300"/>
          <w:jc w:val="center"/>
        </w:trPr>
        <w:tc>
          <w:tcPr>
            <w:tcW w:w="3236" w:type="dxa"/>
            <w:noWrap/>
            <w:hideMark/>
          </w:tcPr>
          <w:p w14:paraId="412EF83D"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Дипломын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дээд</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ба</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бакалавр</w:t>
            </w:r>
            <w:proofErr w:type="spellEnd"/>
          </w:p>
        </w:tc>
        <w:tc>
          <w:tcPr>
            <w:tcW w:w="1512" w:type="dxa"/>
            <w:noWrap/>
            <w:vAlign w:val="center"/>
            <w:hideMark/>
          </w:tcPr>
          <w:p w14:paraId="41F62309"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lang w:val="mn-MN"/>
              </w:rPr>
              <w:t>8</w:t>
            </w:r>
            <w:r w:rsidRPr="00D34DCC">
              <w:rPr>
                <w:rFonts w:ascii="Times New Roman" w:eastAsia="Times New Roman" w:hAnsi="Times New Roman" w:cs="Times New Roman"/>
                <w:color w:val="000000"/>
                <w:sz w:val="24"/>
                <w:szCs w:val="24"/>
              </w:rPr>
              <w:t>.1%</w:t>
            </w:r>
          </w:p>
        </w:tc>
      </w:tr>
      <w:tr w:rsidR="00D34DCC" w:rsidRPr="00D34DCC" w14:paraId="3E68A6E7" w14:textId="77777777" w:rsidTr="002C5A6C">
        <w:trPr>
          <w:trHeight w:val="300"/>
          <w:jc w:val="center"/>
        </w:trPr>
        <w:tc>
          <w:tcPr>
            <w:tcW w:w="3236" w:type="dxa"/>
            <w:tcBorders>
              <w:bottom w:val="single" w:sz="4" w:space="0" w:color="auto"/>
            </w:tcBorders>
            <w:noWrap/>
            <w:hideMark/>
          </w:tcPr>
          <w:p w14:paraId="2C25CBDA"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rPr>
            </w:pPr>
            <w:proofErr w:type="spellStart"/>
            <w:r w:rsidRPr="00D34DCC">
              <w:rPr>
                <w:rFonts w:ascii="Times New Roman" w:eastAsia="Times New Roman" w:hAnsi="Times New Roman" w:cs="Times New Roman"/>
                <w:b/>
                <w:color w:val="000000"/>
                <w:sz w:val="24"/>
                <w:szCs w:val="24"/>
              </w:rPr>
              <w:t>Дипломын</w:t>
            </w:r>
            <w:proofErr w:type="spellEnd"/>
            <w:r w:rsidRPr="00D34DCC">
              <w:rPr>
                <w:rFonts w:ascii="Times New Roman" w:eastAsia="Times New Roman" w:hAnsi="Times New Roman" w:cs="Times New Roman"/>
                <w:b/>
                <w:color w:val="000000"/>
                <w:sz w:val="24"/>
                <w:szCs w:val="24"/>
                <w:lang w:val="mn-MN"/>
              </w:rPr>
              <w:t xml:space="preserve"> </w:t>
            </w:r>
            <w:proofErr w:type="spellStart"/>
            <w:r w:rsidRPr="00D34DCC">
              <w:rPr>
                <w:rFonts w:ascii="Times New Roman" w:eastAsia="Times New Roman" w:hAnsi="Times New Roman" w:cs="Times New Roman"/>
                <w:b/>
                <w:color w:val="000000"/>
                <w:sz w:val="24"/>
                <w:szCs w:val="24"/>
              </w:rPr>
              <w:t>дараах</w:t>
            </w:r>
            <w:proofErr w:type="spellEnd"/>
          </w:p>
        </w:tc>
        <w:tc>
          <w:tcPr>
            <w:tcW w:w="1512" w:type="dxa"/>
            <w:tcBorders>
              <w:bottom w:val="single" w:sz="4" w:space="0" w:color="auto"/>
            </w:tcBorders>
            <w:noWrap/>
            <w:vAlign w:val="center"/>
            <w:hideMark/>
          </w:tcPr>
          <w:p w14:paraId="410A2CE2"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lang w:val="mn-MN"/>
              </w:rPr>
              <w:t>12</w:t>
            </w:r>
            <w:r w:rsidRPr="00D34DCC">
              <w:rPr>
                <w:rFonts w:ascii="Times New Roman" w:eastAsia="Times New Roman" w:hAnsi="Times New Roman" w:cs="Times New Roman"/>
                <w:color w:val="000000"/>
                <w:sz w:val="24"/>
                <w:szCs w:val="24"/>
              </w:rPr>
              <w:t>.</w:t>
            </w:r>
            <w:r w:rsidRPr="00D34DCC">
              <w:rPr>
                <w:rFonts w:ascii="Times New Roman" w:eastAsia="Times New Roman" w:hAnsi="Times New Roman" w:cs="Times New Roman"/>
                <w:color w:val="000000"/>
                <w:sz w:val="24"/>
                <w:szCs w:val="24"/>
                <w:lang w:val="mn-MN"/>
              </w:rPr>
              <w:t>7</w:t>
            </w:r>
            <w:r w:rsidRPr="00D34DCC">
              <w:rPr>
                <w:rFonts w:ascii="Times New Roman" w:eastAsia="Times New Roman" w:hAnsi="Times New Roman" w:cs="Times New Roman"/>
                <w:color w:val="000000"/>
                <w:sz w:val="24"/>
                <w:szCs w:val="24"/>
              </w:rPr>
              <w:t>%</w:t>
            </w:r>
          </w:p>
        </w:tc>
      </w:tr>
      <w:tr w:rsidR="00D34DCC" w:rsidRPr="00D34DCC" w14:paraId="38918407" w14:textId="77777777" w:rsidTr="002C5A6C">
        <w:trPr>
          <w:trHeight w:val="300"/>
          <w:jc w:val="center"/>
        </w:trPr>
        <w:tc>
          <w:tcPr>
            <w:tcW w:w="3236" w:type="dxa"/>
            <w:tcBorders>
              <w:top w:val="single" w:sz="4" w:space="0" w:color="auto"/>
              <w:bottom w:val="single" w:sz="4" w:space="0" w:color="auto"/>
            </w:tcBorders>
            <w:noWrap/>
            <w:hideMark/>
          </w:tcPr>
          <w:p w14:paraId="4FD7CCBA"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lang w:val="mn-MN"/>
              </w:rPr>
            </w:pPr>
            <w:r w:rsidRPr="00D34DCC">
              <w:rPr>
                <w:rFonts w:ascii="Times New Roman" w:eastAsia="Times New Roman" w:hAnsi="Times New Roman" w:cs="Times New Roman"/>
                <w:b/>
                <w:color w:val="000000"/>
                <w:sz w:val="24"/>
                <w:szCs w:val="24"/>
                <w:lang w:val="mn-MN"/>
              </w:rPr>
              <w:t>Дундаж</w:t>
            </w:r>
          </w:p>
        </w:tc>
        <w:tc>
          <w:tcPr>
            <w:tcW w:w="1512" w:type="dxa"/>
            <w:tcBorders>
              <w:top w:val="single" w:sz="4" w:space="0" w:color="auto"/>
              <w:bottom w:val="single" w:sz="4" w:space="0" w:color="auto"/>
            </w:tcBorders>
            <w:noWrap/>
            <w:vAlign w:val="center"/>
            <w:hideMark/>
          </w:tcPr>
          <w:p w14:paraId="24D5C920" w14:textId="77777777" w:rsidR="00D34DCC" w:rsidRPr="00D34DCC" w:rsidRDefault="00D34DCC" w:rsidP="002C5A6C">
            <w:pPr>
              <w:spacing w:before="60" w:after="60"/>
              <w:jc w:val="both"/>
              <w:rPr>
                <w:rFonts w:ascii="Times New Roman" w:eastAsia="Times New Roman" w:hAnsi="Times New Roman" w:cs="Times New Roman"/>
                <w:color w:val="000000"/>
                <w:sz w:val="24"/>
                <w:szCs w:val="24"/>
              </w:rPr>
            </w:pPr>
            <w:r w:rsidRPr="00D34DCC">
              <w:rPr>
                <w:rFonts w:ascii="Times New Roman" w:eastAsia="Times New Roman" w:hAnsi="Times New Roman" w:cs="Times New Roman"/>
                <w:color w:val="000000"/>
                <w:sz w:val="24"/>
                <w:szCs w:val="24"/>
                <w:lang w:val="mn-MN"/>
              </w:rPr>
              <w:t>3</w:t>
            </w:r>
            <w:r w:rsidRPr="00D34DCC">
              <w:rPr>
                <w:rFonts w:ascii="Times New Roman" w:eastAsia="Times New Roman" w:hAnsi="Times New Roman" w:cs="Times New Roman"/>
                <w:color w:val="000000"/>
                <w:sz w:val="24"/>
                <w:szCs w:val="24"/>
              </w:rPr>
              <w:t>.</w:t>
            </w:r>
            <w:r w:rsidRPr="00D34DCC">
              <w:rPr>
                <w:rFonts w:ascii="Times New Roman" w:eastAsia="Times New Roman" w:hAnsi="Times New Roman" w:cs="Times New Roman"/>
                <w:color w:val="000000"/>
                <w:sz w:val="24"/>
                <w:szCs w:val="24"/>
                <w:lang w:val="mn-MN"/>
              </w:rPr>
              <w:t>1</w:t>
            </w:r>
            <w:r w:rsidRPr="00D34DCC">
              <w:rPr>
                <w:rFonts w:ascii="Times New Roman" w:eastAsia="Times New Roman" w:hAnsi="Times New Roman" w:cs="Times New Roman"/>
                <w:color w:val="000000"/>
                <w:sz w:val="24"/>
                <w:szCs w:val="24"/>
              </w:rPr>
              <w:t>%</w:t>
            </w:r>
          </w:p>
        </w:tc>
      </w:tr>
      <w:tr w:rsidR="00D34DCC" w:rsidRPr="00D34DCC" w14:paraId="51BC0D65" w14:textId="77777777" w:rsidTr="002C5A6C">
        <w:trPr>
          <w:trHeight w:val="300"/>
          <w:jc w:val="center"/>
        </w:trPr>
        <w:tc>
          <w:tcPr>
            <w:tcW w:w="4748" w:type="dxa"/>
            <w:gridSpan w:val="2"/>
            <w:tcBorders>
              <w:top w:val="single" w:sz="4" w:space="0" w:color="auto"/>
            </w:tcBorders>
            <w:noWrap/>
          </w:tcPr>
          <w:p w14:paraId="4182CB3F" w14:textId="77777777" w:rsidR="00D34DCC" w:rsidRPr="00D34DCC" w:rsidRDefault="00D34DCC" w:rsidP="002C5A6C">
            <w:pPr>
              <w:spacing w:before="60" w:after="60"/>
              <w:jc w:val="both"/>
              <w:rPr>
                <w:rFonts w:ascii="Times New Roman" w:eastAsia="Times New Roman" w:hAnsi="Times New Roman" w:cs="Times New Roman"/>
                <w:b/>
                <w:color w:val="000000"/>
                <w:sz w:val="24"/>
                <w:szCs w:val="24"/>
                <w:lang w:val="mn-MN"/>
              </w:rPr>
            </w:pPr>
            <w:r w:rsidRPr="00D34DCC">
              <w:rPr>
                <w:rFonts w:ascii="Times New Roman" w:eastAsia="Times New Roman" w:hAnsi="Times New Roman" w:cs="Times New Roman"/>
                <w:b/>
                <w:i/>
                <w:color w:val="000000"/>
                <w:sz w:val="24"/>
                <w:szCs w:val="24"/>
                <w:lang w:val="mn-MN"/>
              </w:rPr>
              <w:t xml:space="preserve">Тэмдэглэл: </w:t>
            </w:r>
            <w:r w:rsidRPr="00D34DCC">
              <w:rPr>
                <w:rFonts w:ascii="Times New Roman" w:eastAsia="Times New Roman" w:hAnsi="Times New Roman" w:cs="Times New Roman"/>
                <w:b/>
                <w:color w:val="000000"/>
                <w:sz w:val="24"/>
                <w:szCs w:val="24"/>
                <w:lang w:val="mn-MN"/>
              </w:rPr>
              <w:t xml:space="preserve">Энэхүү хүснэгт тухайн түвшний боловсролтой хүмүүсээс хэдэн хувь нь нийслэлд шилжиж ирснийг </w:t>
            </w:r>
            <w:r w:rsidRPr="00D34DCC">
              <w:rPr>
                <w:rFonts w:ascii="Times New Roman" w:eastAsia="Times New Roman" w:hAnsi="Times New Roman" w:cs="Times New Roman"/>
                <w:b/>
                <w:color w:val="000000"/>
                <w:sz w:val="24"/>
                <w:szCs w:val="24"/>
                <w:lang w:val="mn-MN"/>
              </w:rPr>
              <w:lastRenderedPageBreak/>
              <w:t>харуулна. Бүх хувьсагч 99%-ийн итгэх түвшинд статистикийн хувьд ач холбогдолтой.</w:t>
            </w:r>
          </w:p>
        </w:tc>
      </w:tr>
    </w:tbl>
    <w:p w14:paraId="365ACFE8" w14:textId="77777777" w:rsidR="00D34DCC" w:rsidRPr="00D34DCC" w:rsidRDefault="00D34DCC" w:rsidP="00D34DCC">
      <w:pPr>
        <w:jc w:val="both"/>
        <w:rPr>
          <w:rFonts w:ascii="Times New Roman" w:hAnsi="Times New Roman" w:cs="Times New Roman"/>
          <w:sz w:val="24"/>
          <w:szCs w:val="24"/>
          <w:lang w:val="mn-MN"/>
        </w:rPr>
      </w:pPr>
    </w:p>
    <w:p w14:paraId="54E6C68E" w14:textId="77777777" w:rsidR="00D34DCC" w:rsidRPr="00D34DCC" w:rsidRDefault="00D34DCC" w:rsidP="00D34DCC">
      <w:pPr>
        <w:jc w:val="both"/>
        <w:rPr>
          <w:rFonts w:ascii="Times New Roman" w:hAnsi="Times New Roman" w:cs="Times New Roman"/>
          <w:b/>
          <w:sz w:val="24"/>
          <w:szCs w:val="24"/>
          <w:lang w:val="mn-MN"/>
        </w:rPr>
      </w:pPr>
      <w:r w:rsidRPr="00D34DCC">
        <w:rPr>
          <w:rFonts w:ascii="Times New Roman" w:hAnsi="Times New Roman" w:cs="Times New Roman"/>
          <w:b/>
          <w:sz w:val="24"/>
          <w:szCs w:val="24"/>
          <w:lang w:val="mn-MN"/>
        </w:rPr>
        <w:t>Боловсрол, нүүдлийн шүтэлцээ</w:t>
      </w:r>
    </w:p>
    <w:p w14:paraId="345C162B"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 xml:space="preserve">Хүмүүс боловсролтой болсноор илүү нүүх хандлагатай болж байна уу, эсвэл нүүх хандлагатай хүмүүс боловсролтой болж байна уу гэсэн салаа асуулт гардаг. Хөдөлмөрийн эдийн засагчид энэ асуудлыг олон жил судалсны эцэст, боловсрол нь хүний нүүж шилжих сонголтод нөлөөлдгийг саяхан тогтоосон </w:t>
      </w:r>
      <w:sdt>
        <w:sdtPr>
          <w:rPr>
            <w:rFonts w:ascii="Times New Roman" w:hAnsi="Times New Roman" w:cs="Times New Roman"/>
            <w:sz w:val="24"/>
            <w:szCs w:val="24"/>
            <w:lang w:val="mn-MN"/>
          </w:rPr>
          <w:id w:val="-1572264618"/>
          <w:citation/>
        </w:sdtPr>
        <w:sdtContent>
          <w:r w:rsidRPr="00D34DCC">
            <w:rPr>
              <w:rFonts w:ascii="Times New Roman" w:hAnsi="Times New Roman" w:cs="Times New Roman"/>
              <w:sz w:val="24"/>
              <w:szCs w:val="24"/>
            </w:rPr>
            <w:fldChar w:fldCharType="begin"/>
          </w:r>
          <w:r w:rsidRPr="00D34DCC">
            <w:rPr>
              <w:rFonts w:ascii="Times New Roman" w:hAnsi="Times New Roman" w:cs="Times New Roman"/>
              <w:sz w:val="24"/>
              <w:szCs w:val="24"/>
            </w:rPr>
            <w:instrText xml:space="preserve"> CITATION Mac12 \l 1033  \m Mal12</w:instrText>
          </w:r>
          <w:r w:rsidRPr="00D34DCC">
            <w:rPr>
              <w:rFonts w:ascii="Times New Roman" w:hAnsi="Times New Roman" w:cs="Times New Roman"/>
              <w:sz w:val="24"/>
              <w:szCs w:val="24"/>
            </w:rPr>
            <w:fldChar w:fldCharType="separate"/>
          </w:r>
          <w:r w:rsidRPr="00D34DCC">
            <w:rPr>
              <w:rFonts w:ascii="Times New Roman" w:hAnsi="Times New Roman" w:cs="Times New Roman"/>
              <w:noProof/>
              <w:sz w:val="24"/>
              <w:szCs w:val="24"/>
            </w:rPr>
            <w:t>(Machin, 2012; Malamud, 2012)</w:t>
          </w:r>
          <w:r w:rsidRPr="00D34DCC">
            <w:rPr>
              <w:rFonts w:ascii="Times New Roman" w:hAnsi="Times New Roman" w:cs="Times New Roman"/>
              <w:noProof/>
              <w:sz w:val="24"/>
              <w:szCs w:val="24"/>
            </w:rPr>
            <w:fldChar w:fldCharType="end"/>
          </w:r>
        </w:sdtContent>
      </w:sdt>
      <w:r w:rsidRPr="00D34DCC">
        <w:rPr>
          <w:rFonts w:ascii="Times New Roman" w:hAnsi="Times New Roman" w:cs="Times New Roman"/>
          <w:sz w:val="24"/>
          <w:szCs w:val="24"/>
        </w:rPr>
        <w:t>.</w:t>
      </w:r>
      <w:r w:rsidRPr="00D34DCC">
        <w:rPr>
          <w:rFonts w:ascii="Times New Roman" w:hAnsi="Times New Roman" w:cs="Times New Roman"/>
          <w:sz w:val="24"/>
          <w:szCs w:val="24"/>
          <w:lang w:val="mn-MN"/>
        </w:rPr>
        <w:t xml:space="preserve"> Тухайлбал, эдгээр судлаачид Вьетнамын дайны үед АНУ-д коллежид хамрагдаж байсан хүмүүсийн тоон мэдээллийг ашиглан сонирхолтой судалгаа хийжээ. Тэр үед оюутнуудыг цэрэгт татдаггүй</w:t>
      </w:r>
      <w:r w:rsidRPr="00D34DCC">
        <w:rPr>
          <w:rFonts w:ascii="Times New Roman" w:hAnsi="Times New Roman" w:cs="Times New Roman"/>
          <w:sz w:val="24"/>
          <w:szCs w:val="24"/>
        </w:rPr>
        <w:t xml:space="preserve"> </w:t>
      </w:r>
      <w:r w:rsidRPr="00D34DCC">
        <w:rPr>
          <w:rFonts w:ascii="Times New Roman" w:hAnsi="Times New Roman" w:cs="Times New Roman"/>
          <w:sz w:val="24"/>
          <w:szCs w:val="24"/>
          <w:lang w:val="mn-MN"/>
        </w:rPr>
        <w:t xml:space="preserve">байсан тул цэрэгт татагдахаас зайлсхийж маш олон залуус коллежид хамрагдаж байжээ. Эдгээр залуусын хөдөлмөрийн зах зээл дээрх шилжилт хөдөлгөөнийг судалсны үндсэн дээр боловсролын түвшин өсөхөд шилжилт хөдөлгөөн нь нэмэгддэг гэсэн дүгнэлтийг хийжээ. </w:t>
      </w:r>
    </w:p>
    <w:p w14:paraId="4BCB4EA1" w14:textId="77777777" w:rsidR="00D34DCC" w:rsidRPr="00D34DCC" w:rsidRDefault="00D34DCC" w:rsidP="00D34DCC">
      <w:pPr>
        <w:jc w:val="both"/>
        <w:rPr>
          <w:rFonts w:ascii="Times New Roman" w:hAnsi="Times New Roman" w:cs="Times New Roman"/>
          <w:sz w:val="24"/>
          <w:szCs w:val="24"/>
          <w:lang w:val="mn-MN"/>
        </w:rPr>
      </w:pPr>
    </w:p>
    <w:p w14:paraId="51945C9D" w14:textId="77777777" w:rsidR="00D34DCC" w:rsidRPr="00D34DCC" w:rsidRDefault="00D34DCC" w:rsidP="00D34DCC">
      <w:pPr>
        <w:jc w:val="both"/>
        <w:rPr>
          <w:rFonts w:ascii="Times New Roman" w:hAnsi="Times New Roman" w:cs="Times New Roman"/>
          <w:b/>
          <w:sz w:val="24"/>
          <w:szCs w:val="24"/>
          <w:lang w:val="mn-MN"/>
        </w:rPr>
      </w:pPr>
      <w:r w:rsidRPr="00D34DCC">
        <w:rPr>
          <w:rFonts w:ascii="Times New Roman" w:hAnsi="Times New Roman" w:cs="Times New Roman"/>
          <w:b/>
          <w:sz w:val="24"/>
          <w:szCs w:val="24"/>
          <w:lang w:val="mn-MN"/>
        </w:rPr>
        <w:t xml:space="preserve">Хөдөлмөрийн зах зээлийн уян хатан чанар ба бодлогын асуудал </w:t>
      </w:r>
    </w:p>
    <w:p w14:paraId="43B1E2FA"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 xml:space="preserve">Дээрх шилжилт хөдөлгөөн нь Монголын өнөөгийн хөдөлмөрийн зах зээлийн нөхцөл байдлыг ойлгоход чухал ач холбогдолтой. Монголын ажиллах хүчин, ялангуяа дээд боловсролтой хүмүүс хурдтай шилжиж байна. Ингэж шилжихдээ хүмүүс дунджаар илүү өндөр цалинтай буюу илүү бүтээмжтэй газарт шилждэг. Өөрөөр хэлбэл, хөдөлмөрийн бүтээмж илүүтэй салбар дахь ажил эрхлэлтийг нэмэгдүүлэхэд дээд боловсрол хүчтэй дэмжлэг болж байна. Мөн, манай их, дээд сургууль төгссөн залуусын хувьд нүүдэл нь тэдний боловсролын бас нэгэн чухал өгөөж гэдгийг бид тэр бүр анзаардаггүй.  </w:t>
      </w:r>
    </w:p>
    <w:p w14:paraId="1A5D78E6"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Хүмүүс нэг газраа тогтвортой удаан ажиллах нь сайн байх албагүй. Харин, өндөр бүтээмжтэй салбарууд руу хурдан шилжиж байх нь илүү үр дүнтэйг орчин үеийн эдийн засгийн олон судалгаа харуулдаг. Ялангуяа эдийн засгийн цөөн салбар нь байнга хүчтэй цохилтод өртөж байдаг манай улсын хувьд боловсролоо дэмжих нь салбарын шилжилт хөдөлгөөнийг илүү уян хатан болгох сайн талтай. Боловсрол нь манай улсын хөдөлмөрийн зах зээлийн бодлогын амин чухал хэсэг байж болох юм.</w:t>
      </w:r>
    </w:p>
    <w:p w14:paraId="0EF3CE7F" w14:textId="77777777" w:rsidR="00D34DCC" w:rsidRPr="00D34DCC" w:rsidRDefault="00D34DCC" w:rsidP="00D34DCC">
      <w:pPr>
        <w:pStyle w:val="Heading1"/>
        <w:numPr>
          <w:ilvl w:val="0"/>
          <w:numId w:val="1"/>
        </w:numPr>
        <w:spacing w:after="360"/>
        <w:jc w:val="both"/>
        <w:rPr>
          <w:rFonts w:ascii="Times New Roman" w:hAnsi="Times New Roman" w:cs="Times New Roman"/>
          <w:sz w:val="24"/>
          <w:szCs w:val="24"/>
          <w:lang w:val="mn-MN"/>
        </w:rPr>
      </w:pPr>
      <w:bookmarkStart w:id="12" w:name="_Toc437428428"/>
      <w:r w:rsidRPr="00D34DCC">
        <w:rPr>
          <w:rFonts w:ascii="Times New Roman" w:hAnsi="Times New Roman" w:cs="Times New Roman"/>
          <w:sz w:val="24"/>
          <w:szCs w:val="24"/>
          <w:lang w:val="mn-MN"/>
        </w:rPr>
        <w:t>Дүгнэл</w:t>
      </w:r>
      <w:bookmarkEnd w:id="12"/>
      <w:r w:rsidRPr="00D34DCC">
        <w:rPr>
          <w:rFonts w:ascii="Times New Roman" w:hAnsi="Times New Roman" w:cs="Times New Roman"/>
          <w:sz w:val="24"/>
          <w:szCs w:val="24"/>
          <w:lang w:val="mn-MN"/>
        </w:rPr>
        <w:t>т</w:t>
      </w:r>
    </w:p>
    <w:p w14:paraId="3A45A7CB" w14:textId="77777777" w:rsidR="00D34DCC" w:rsidRPr="00D34DCC" w:rsidRDefault="00D34DCC" w:rsidP="00D34DCC">
      <w:pPr>
        <w:jc w:val="both"/>
        <w:rPr>
          <w:rFonts w:ascii="Times New Roman" w:hAnsi="Times New Roman" w:cs="Times New Roman"/>
          <w:sz w:val="24"/>
          <w:szCs w:val="24"/>
          <w:lang w:val="mn-MN"/>
        </w:rPr>
      </w:pPr>
      <w:r w:rsidRPr="00D34DCC">
        <w:rPr>
          <w:rFonts w:ascii="Times New Roman" w:hAnsi="Times New Roman" w:cs="Times New Roman"/>
          <w:sz w:val="24"/>
          <w:szCs w:val="24"/>
          <w:lang w:val="mn-MN"/>
        </w:rPr>
        <w:t xml:space="preserve">Бид түгээмэл хэрэглэгддэг Минсер маягийн тэгшитгэл ашиглан Монголын хөдөлмөрийн зах зээл дээрх дээд боловсролын өгөөжийг хэмжлээ. Монголын хөдөлмөрийн зах зээл дээрx дээд боловсролын өгөөж нь бусад улсынхтай ойролцоо байна. Тухайн цөөн тохиолдолд, дээд боловсролтой төгсөгч дунд боловсролтой хүнээс доогуур цалинтай ажил эрхэлж байж </w:t>
      </w:r>
      <w:r w:rsidRPr="00D34DCC">
        <w:rPr>
          <w:rFonts w:ascii="Times New Roman" w:hAnsi="Times New Roman" w:cs="Times New Roman"/>
          <w:sz w:val="24"/>
          <w:szCs w:val="24"/>
          <w:lang w:val="mn-MN"/>
        </w:rPr>
        <w:lastRenderedPageBreak/>
        <w:t xml:space="preserve">болно. Үүнд үндэслэн дээд боловсролыг үр өгөөж муутай гэж дүгнэж болохгүй. Үүнээс гадна, ирээдүйн эдийн засгийн өсөлтийг угтаж хүмүүс боловсролдоо илүү их хөрөнгө оруулах хандлагатай байдаг </w:t>
      </w:r>
      <w:sdt>
        <w:sdtPr>
          <w:rPr>
            <w:rFonts w:ascii="Times New Roman" w:hAnsi="Times New Roman" w:cs="Times New Roman"/>
            <w:sz w:val="24"/>
            <w:szCs w:val="24"/>
            <w:lang w:val="mn-MN"/>
          </w:rPr>
          <w:id w:val="383069333"/>
          <w:citation/>
        </w:sdtPr>
        <w:sdtContent>
          <w:r w:rsidRPr="00D34DCC">
            <w:rPr>
              <w:rFonts w:ascii="Times New Roman" w:hAnsi="Times New Roman" w:cs="Times New Roman"/>
              <w:sz w:val="24"/>
              <w:szCs w:val="24"/>
            </w:rPr>
            <w:fldChar w:fldCharType="begin"/>
          </w:r>
          <w:r w:rsidRPr="00D34DCC">
            <w:rPr>
              <w:rFonts w:ascii="Times New Roman" w:hAnsi="Times New Roman" w:cs="Times New Roman"/>
              <w:sz w:val="24"/>
              <w:szCs w:val="24"/>
            </w:rPr>
            <w:instrText xml:space="preserve"> CITATION Bil00 \l 1033  </w:instrText>
          </w:r>
          <w:r w:rsidRPr="00D34DCC">
            <w:rPr>
              <w:rFonts w:ascii="Times New Roman" w:hAnsi="Times New Roman" w:cs="Times New Roman"/>
              <w:sz w:val="24"/>
              <w:szCs w:val="24"/>
            </w:rPr>
            <w:fldChar w:fldCharType="separate"/>
          </w:r>
          <w:r w:rsidRPr="00D34DCC">
            <w:rPr>
              <w:rFonts w:ascii="Times New Roman" w:hAnsi="Times New Roman" w:cs="Times New Roman"/>
              <w:noProof/>
              <w:sz w:val="24"/>
              <w:szCs w:val="24"/>
            </w:rPr>
            <w:t>(Bils &amp; Klenow, 2000)</w:t>
          </w:r>
          <w:r w:rsidRPr="00D34DCC">
            <w:rPr>
              <w:rFonts w:ascii="Times New Roman" w:hAnsi="Times New Roman" w:cs="Times New Roman"/>
              <w:noProof/>
              <w:sz w:val="24"/>
              <w:szCs w:val="24"/>
            </w:rPr>
            <w:fldChar w:fldCharType="end"/>
          </w:r>
        </w:sdtContent>
      </w:sdt>
      <w:r w:rsidRPr="00D34DCC">
        <w:rPr>
          <w:rFonts w:ascii="Times New Roman" w:hAnsi="Times New Roman" w:cs="Times New Roman"/>
          <w:color w:val="0000FF"/>
          <w:sz w:val="24"/>
          <w:szCs w:val="24"/>
          <w:lang w:val="mn-MN"/>
        </w:rPr>
        <w:t xml:space="preserve">. </w:t>
      </w:r>
      <w:r w:rsidRPr="00D34DCC">
        <w:rPr>
          <w:rFonts w:ascii="Times New Roman" w:hAnsi="Times New Roman" w:cs="Times New Roman"/>
          <w:sz w:val="24"/>
          <w:szCs w:val="24"/>
          <w:lang w:val="mn-MN"/>
        </w:rPr>
        <w:t>Тиймээс,</w:t>
      </w:r>
      <w:r w:rsidRPr="00D34DCC">
        <w:rPr>
          <w:rFonts w:ascii="Times New Roman" w:hAnsi="Times New Roman" w:cs="Times New Roman"/>
          <w:sz w:val="24"/>
          <w:szCs w:val="24"/>
        </w:rPr>
        <w:t xml:space="preserve"> </w:t>
      </w:r>
      <w:r w:rsidRPr="00D34DCC">
        <w:rPr>
          <w:rFonts w:ascii="Times New Roman" w:hAnsi="Times New Roman" w:cs="Times New Roman"/>
          <w:sz w:val="24"/>
          <w:szCs w:val="24"/>
          <w:lang w:val="mn-MN"/>
        </w:rPr>
        <w:t xml:space="preserve">боловсролын үр шимийг зөвхөн өнөөдрийн цалингаар хязгаарлан ойлгох нь буруу юм. Дээд боловсролтой хүмүүсийн цалин хот, хөдөөгийн хооронд их зөрүүтэй байна. Боловсролтой хүмүүс илүү олноороо нийслэл рүү шилжиж байгаа нь бүс нутгаас хамаарсан цалингийн зөрүү, орлогын тэгш бус байдлыг даамжруулж байна. </w:t>
      </w:r>
    </w:p>
    <w:p w14:paraId="1D42DF6E" w14:textId="77777777" w:rsidR="00D34DCC" w:rsidRPr="00D34DCC" w:rsidRDefault="00D34DCC" w:rsidP="00D34DCC">
      <w:pPr>
        <w:pStyle w:val="Heading1"/>
        <w:jc w:val="both"/>
        <w:rPr>
          <w:rFonts w:ascii="Times New Roman" w:hAnsi="Times New Roman" w:cs="Times New Roman"/>
          <w:sz w:val="24"/>
          <w:szCs w:val="24"/>
          <w:lang w:val="mn-MN"/>
        </w:rPr>
      </w:pPr>
      <w:bookmarkStart w:id="13" w:name="_Toc437428429"/>
      <w:r w:rsidRPr="00D34DCC">
        <w:rPr>
          <w:rFonts w:ascii="Times New Roman" w:hAnsi="Times New Roman" w:cs="Times New Roman"/>
          <w:sz w:val="24"/>
          <w:szCs w:val="24"/>
          <w:lang w:val="mn-MN"/>
        </w:rPr>
        <w:t>Ном зүй</w:t>
      </w:r>
      <w:bookmarkEnd w:id="13"/>
    </w:p>
    <w:sdt>
      <w:sdtPr>
        <w:rPr>
          <w:rFonts w:cs="Times New Roman"/>
          <w:szCs w:val="24"/>
        </w:rPr>
        <w:id w:val="111145805"/>
        <w:bibliography/>
      </w:sdtPr>
      <w:sdtEndPr>
        <w:rPr>
          <w:rFonts w:eastAsiaTheme="minorHAnsi"/>
        </w:rPr>
      </w:sdtEndPr>
      <w:sdtContent>
        <w:p w14:paraId="298239C8" w14:textId="77777777" w:rsidR="00D34DCC" w:rsidRPr="00D34DCC" w:rsidRDefault="00D34DCC" w:rsidP="00D34DCC">
          <w:pPr>
            <w:pStyle w:val="Bibliography"/>
            <w:ind w:left="720" w:hanging="720"/>
            <w:rPr>
              <w:rFonts w:cs="Times New Roman"/>
              <w:noProof/>
              <w:szCs w:val="24"/>
              <w:lang w:val="mn-MN"/>
            </w:rPr>
          </w:pPr>
          <w:r w:rsidRPr="00D34DCC">
            <w:rPr>
              <w:rFonts w:cs="Times New Roman"/>
              <w:szCs w:val="24"/>
            </w:rPr>
            <w:fldChar w:fldCharType="begin"/>
          </w:r>
          <w:r w:rsidRPr="00D34DCC">
            <w:rPr>
              <w:rFonts w:cs="Times New Roman"/>
              <w:szCs w:val="24"/>
            </w:rPr>
            <w:instrText xml:space="preserve"> BIBLIOGRAPHY </w:instrText>
          </w:r>
          <w:r w:rsidRPr="00D34DCC">
            <w:rPr>
              <w:rFonts w:cs="Times New Roman"/>
              <w:szCs w:val="24"/>
            </w:rPr>
            <w:fldChar w:fldCharType="separate"/>
          </w:r>
          <w:r w:rsidRPr="00D34DCC">
            <w:rPr>
              <w:rFonts w:cs="Times New Roman"/>
              <w:noProof/>
              <w:szCs w:val="24"/>
              <w:lang w:val="mn-MN"/>
            </w:rPr>
            <w:t xml:space="preserve">Байгальмаа Ч. (2009). </w:t>
          </w:r>
          <w:r w:rsidRPr="00D34DCC">
            <w:rPr>
              <w:rFonts w:cs="Times New Roman"/>
              <w:i/>
              <w:iCs/>
              <w:noProof/>
              <w:szCs w:val="24"/>
              <w:lang w:val="mn-MN"/>
            </w:rPr>
            <w:t>Багшийн хөгжлийн практик.</w:t>
          </w:r>
          <w:r w:rsidRPr="00D34DCC">
            <w:rPr>
              <w:rFonts w:cs="Times New Roman"/>
              <w:noProof/>
              <w:szCs w:val="24"/>
              <w:lang w:val="mn-MN"/>
            </w:rPr>
            <w:t xml:space="preserve"> УБ.</w:t>
          </w:r>
        </w:p>
        <w:p w14:paraId="03EF77B0"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Я.Отгонбаяр. (2015). Их, дээд сургуулийн багшийн хөгжлийн социологийн шинжилгээ. </w:t>
          </w:r>
          <w:r w:rsidRPr="00D34DCC">
            <w:rPr>
              <w:rFonts w:cs="Times New Roman"/>
              <w:i/>
              <w:iCs/>
              <w:noProof/>
              <w:szCs w:val="24"/>
              <w:lang w:val="mn-MN"/>
            </w:rPr>
            <w:t>докторын диссертаци</w:t>
          </w:r>
          <w:r w:rsidRPr="00D34DCC">
            <w:rPr>
              <w:rFonts w:cs="Times New Roman"/>
              <w:noProof/>
              <w:szCs w:val="24"/>
              <w:lang w:val="mn-MN"/>
            </w:rPr>
            <w:t>.</w:t>
          </w:r>
        </w:p>
        <w:p w14:paraId="14CF6019"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УИХ. (2006). </w:t>
          </w:r>
          <w:r w:rsidRPr="00D34DCC">
            <w:rPr>
              <w:rFonts w:cs="Times New Roman"/>
              <w:i/>
              <w:iCs/>
              <w:noProof/>
              <w:szCs w:val="24"/>
              <w:lang w:val="mn-MN"/>
            </w:rPr>
            <w:t>Шинжлэх ухаан, технологийн тухай хууль.</w:t>
          </w:r>
          <w:r w:rsidRPr="00D34DCC">
            <w:rPr>
              <w:rFonts w:cs="Times New Roman"/>
              <w:noProof/>
              <w:szCs w:val="24"/>
              <w:lang w:val="mn-MN"/>
            </w:rPr>
            <w:t xml:space="preserve"> Улаанбаатар.</w:t>
          </w:r>
        </w:p>
        <w:p w14:paraId="72A66BA8"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яам, А. ү. (2015). </w:t>
          </w:r>
          <w:r w:rsidRPr="00D34DCC">
            <w:rPr>
              <w:rFonts w:cs="Times New Roman"/>
              <w:i/>
              <w:iCs/>
              <w:noProof/>
              <w:szCs w:val="24"/>
              <w:lang w:val="mn-MN"/>
            </w:rPr>
            <w:t>Аж үйлдвэрийн талаар баримтлах бодлого.</w:t>
          </w:r>
          <w:r w:rsidRPr="00D34DCC">
            <w:rPr>
              <w:rFonts w:cs="Times New Roman"/>
              <w:noProof/>
              <w:szCs w:val="24"/>
              <w:lang w:val="mn-MN"/>
            </w:rPr>
            <w:t xml:space="preserve"> Улаанбаатар.</w:t>
          </w:r>
        </w:p>
        <w:p w14:paraId="757CFE4B"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МУЗГ. (1992). Монгол улсын засгийн газрын мөрийн хөтөлбөр /1992-1996/. </w:t>
          </w:r>
          <w:r w:rsidRPr="00D34DCC">
            <w:rPr>
              <w:rFonts w:cs="Times New Roman"/>
              <w:i/>
              <w:iCs/>
              <w:noProof/>
              <w:szCs w:val="24"/>
              <w:lang w:val="mn-MN"/>
            </w:rPr>
            <w:t>Үнэн</w:t>
          </w:r>
          <w:r w:rsidRPr="00D34DCC">
            <w:rPr>
              <w:rFonts w:cs="Times New Roman"/>
              <w:noProof/>
              <w:szCs w:val="24"/>
              <w:lang w:val="mn-MN"/>
            </w:rPr>
            <w:t>, 1.</w:t>
          </w:r>
        </w:p>
        <w:p w14:paraId="57348399"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БСШУ. (2007). </w:t>
          </w:r>
          <w:r w:rsidRPr="00D34DCC">
            <w:rPr>
              <w:rFonts w:cs="Times New Roman"/>
              <w:i/>
              <w:iCs/>
              <w:noProof/>
              <w:szCs w:val="24"/>
              <w:lang w:val="mn-MN"/>
            </w:rPr>
            <w:t>Монгол Улсын Шинжлэх Ухаан, Технологийг 2007-2020 онд хөгжүүлэх мастер төлөвлөгөө.</w:t>
          </w:r>
          <w:r w:rsidRPr="00D34DCC">
            <w:rPr>
              <w:rFonts w:cs="Times New Roman"/>
              <w:noProof/>
              <w:szCs w:val="24"/>
              <w:lang w:val="mn-MN"/>
            </w:rPr>
            <w:t xml:space="preserve"> Улаанбаатар: Содпресс.</w:t>
          </w:r>
        </w:p>
        <w:p w14:paraId="14A96445"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МУЗГ. (2011). </w:t>
          </w:r>
          <w:r w:rsidRPr="00D34DCC">
            <w:rPr>
              <w:rFonts w:cs="Times New Roman"/>
              <w:i/>
              <w:iCs/>
              <w:noProof/>
              <w:szCs w:val="24"/>
              <w:lang w:val="mn-MN"/>
            </w:rPr>
            <w:t>Хувийн хэвшлийн хөгжлийг дэмжих үндэсний стратеги.</w:t>
          </w:r>
          <w:r w:rsidRPr="00D34DCC">
            <w:rPr>
              <w:rFonts w:cs="Times New Roman"/>
              <w:noProof/>
              <w:szCs w:val="24"/>
              <w:lang w:val="mn-MN"/>
            </w:rPr>
            <w:t xml:space="preserve"> Улаанбаатар.</w:t>
          </w:r>
        </w:p>
        <w:p w14:paraId="41785CD2"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ХСИС. (2013).</w:t>
          </w:r>
        </w:p>
        <w:p w14:paraId="418DAF25"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МУИС. (2014). </w:t>
          </w:r>
          <w:r w:rsidRPr="00D34DCC">
            <w:rPr>
              <w:rFonts w:cs="Times New Roman"/>
              <w:i/>
              <w:iCs/>
              <w:noProof/>
              <w:szCs w:val="24"/>
              <w:lang w:val="mn-MN"/>
            </w:rPr>
            <w:t>МУИС-ийн багшийн орон тоо, ажлын үнэлгээний журам.</w:t>
          </w:r>
          <w:r w:rsidRPr="00D34DCC">
            <w:rPr>
              <w:rFonts w:cs="Times New Roman"/>
              <w:noProof/>
              <w:szCs w:val="24"/>
              <w:lang w:val="mn-MN"/>
            </w:rPr>
            <w:t xml:space="preserve"> Захиралын 652 тоот тушаалын хавсралт 4.</w:t>
          </w:r>
        </w:p>
        <w:p w14:paraId="7384E386"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Даваа Ж, ба бусад. (2012). </w:t>
          </w:r>
          <w:r w:rsidRPr="00D34DCC">
            <w:rPr>
              <w:rFonts w:cs="Times New Roman"/>
              <w:i/>
              <w:iCs/>
              <w:noProof/>
              <w:szCs w:val="24"/>
              <w:lang w:val="mn-MN"/>
            </w:rPr>
            <w:t>Их дээд сургууль, коллежийн багшийн хөгжлийн судалгаа.</w:t>
          </w:r>
          <w:r w:rsidRPr="00D34DCC">
            <w:rPr>
              <w:rFonts w:cs="Times New Roman"/>
              <w:noProof/>
              <w:szCs w:val="24"/>
              <w:lang w:val="mn-MN"/>
            </w:rPr>
            <w:t xml:space="preserve"> УБ.</w:t>
          </w:r>
        </w:p>
        <w:p w14:paraId="4C1977A7"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Акиро Аримото. (2012). </w:t>
          </w:r>
          <w:r w:rsidRPr="00D34DCC">
            <w:rPr>
              <w:rFonts w:cs="Times New Roman"/>
              <w:i/>
              <w:iCs/>
              <w:noProof/>
              <w:szCs w:val="24"/>
              <w:lang w:val="mn-MN"/>
            </w:rPr>
            <w:t>Reaction to academic ranking in Japanies.</w:t>
          </w:r>
          <w:r w:rsidRPr="00D34DCC">
            <w:rPr>
              <w:rFonts w:cs="Times New Roman"/>
              <w:noProof/>
              <w:szCs w:val="24"/>
              <w:lang w:val="mn-MN"/>
            </w:rPr>
            <w:t xml:space="preserve"> From. URL: http:/www. Researchgate.net/publication/ 226816799-ээс Гаргасан</w:t>
          </w:r>
        </w:p>
        <w:p w14:paraId="081011C5"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ШУТИС. (2013).</w:t>
          </w:r>
        </w:p>
        <w:p w14:paraId="6B866CB5"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ХААИС. (2013). </w:t>
          </w:r>
          <w:r w:rsidRPr="00D34DCC">
            <w:rPr>
              <w:rFonts w:cs="Times New Roman"/>
              <w:i/>
              <w:iCs/>
              <w:noProof/>
              <w:szCs w:val="24"/>
              <w:lang w:val="mn-MN"/>
            </w:rPr>
            <w:t>ХААИС-ийн профессор багшийн ажлыг төлөвлөх, гүйцэтгэлийг тооцох журам.</w:t>
          </w:r>
          <w:r w:rsidRPr="00D34DCC">
            <w:rPr>
              <w:rFonts w:cs="Times New Roman"/>
              <w:noProof/>
              <w:szCs w:val="24"/>
              <w:lang w:val="mn-MN"/>
            </w:rPr>
            <w:t xml:space="preserve"> УБ.</w:t>
          </w:r>
        </w:p>
        <w:p w14:paraId="1F055A29"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БСШУЯ. (2014). </w:t>
          </w:r>
          <w:r w:rsidRPr="00D34DCC">
            <w:rPr>
              <w:rFonts w:cs="Times New Roman"/>
              <w:i/>
              <w:iCs/>
              <w:noProof/>
              <w:szCs w:val="24"/>
              <w:lang w:val="mn-MN"/>
            </w:rPr>
            <w:t>Эрдэм шинжилгээний байгууллагын дэргэд гарааны компани байгуулах журам.</w:t>
          </w:r>
          <w:r w:rsidRPr="00D34DCC">
            <w:rPr>
              <w:rFonts w:cs="Times New Roman"/>
              <w:noProof/>
              <w:szCs w:val="24"/>
              <w:lang w:val="mn-MN"/>
            </w:rPr>
            <w:t xml:space="preserve"> Улаанбаатар.</w:t>
          </w:r>
        </w:p>
        <w:p w14:paraId="2B609ADB"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lastRenderedPageBreak/>
            <w:t xml:space="preserve">МУБИС. (2014). </w:t>
          </w:r>
          <w:r w:rsidRPr="00D34DCC">
            <w:rPr>
              <w:rFonts w:cs="Times New Roman"/>
              <w:i/>
              <w:iCs/>
              <w:noProof/>
              <w:szCs w:val="24"/>
              <w:lang w:val="mn-MN"/>
            </w:rPr>
            <w:t>МУБИС-ийн профессор багшийн ажлыг үнэлэх, дүгнэх журам.</w:t>
          </w:r>
          <w:r w:rsidRPr="00D34DCC">
            <w:rPr>
              <w:rFonts w:cs="Times New Roman"/>
              <w:noProof/>
              <w:szCs w:val="24"/>
              <w:lang w:val="mn-MN"/>
            </w:rPr>
            <w:t xml:space="preserve"> шинэчилсэн найруулгын төсөл.</w:t>
          </w:r>
        </w:p>
        <w:p w14:paraId="342193BC"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Тамир, Ч., Мөнхбат, Л. (2013). </w:t>
          </w:r>
          <w:r w:rsidRPr="00D34DCC">
            <w:rPr>
              <w:rFonts w:cs="Times New Roman"/>
              <w:i/>
              <w:iCs/>
              <w:noProof/>
              <w:szCs w:val="24"/>
              <w:lang w:val="mn-MN"/>
            </w:rPr>
            <w:t>Монголын дээд боловсролын бодлого: үнэлгээ ба шинжилгээ.</w:t>
          </w:r>
          <w:r w:rsidRPr="00D34DCC">
            <w:rPr>
              <w:rFonts w:cs="Times New Roman"/>
              <w:noProof/>
              <w:szCs w:val="24"/>
              <w:lang w:val="mn-MN"/>
            </w:rPr>
            <w:t xml:space="preserve"> Улаанбаатар: Пикселс.</w:t>
          </w:r>
        </w:p>
        <w:p w14:paraId="072D546A" w14:textId="77777777" w:rsidR="00D34DCC" w:rsidRPr="00D34DCC" w:rsidRDefault="00D34DCC" w:rsidP="00D34DCC">
          <w:pPr>
            <w:pStyle w:val="Bibliography"/>
            <w:ind w:left="720" w:hanging="720"/>
            <w:rPr>
              <w:rFonts w:cs="Times New Roman"/>
              <w:noProof/>
              <w:szCs w:val="24"/>
              <w:lang w:val="mn-MN"/>
            </w:rPr>
          </w:pPr>
          <w:r w:rsidRPr="00D34DCC">
            <w:rPr>
              <w:rFonts w:cs="Times New Roman"/>
              <w:i/>
              <w:iCs/>
              <w:noProof/>
              <w:szCs w:val="24"/>
              <w:lang w:val="mn-MN"/>
            </w:rPr>
            <w:t>Монгол улсад үндэсний инновацийн тогтолцоог хөгжүүлэх хөтөлбөр (2008-2015).</w:t>
          </w:r>
          <w:r w:rsidRPr="00D34DCC">
            <w:rPr>
              <w:rFonts w:cs="Times New Roman"/>
              <w:noProof/>
              <w:szCs w:val="24"/>
              <w:lang w:val="mn-MN"/>
            </w:rPr>
            <w:t xml:space="preserve"> (2007). Улаанбаатар.</w:t>
          </w:r>
        </w:p>
        <w:p w14:paraId="710C1410"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Хандмаа Р. (2009). Хөгжилтэй орнуудын их дээд сургуулийн багшид тавигдах шаардлага. </w:t>
          </w:r>
          <w:r w:rsidRPr="00D34DCC">
            <w:rPr>
              <w:rFonts w:cs="Times New Roman"/>
              <w:i/>
              <w:iCs/>
              <w:noProof/>
              <w:szCs w:val="24"/>
              <w:lang w:val="mn-MN"/>
            </w:rPr>
            <w:t>Хүний нөөцийн менежмент</w:t>
          </w:r>
          <w:r w:rsidRPr="00D34DCC">
            <w:rPr>
              <w:rFonts w:cs="Times New Roman"/>
              <w:noProof/>
              <w:szCs w:val="24"/>
              <w:lang w:val="mn-MN"/>
            </w:rPr>
            <w:t>, №1 х-26.</w:t>
          </w:r>
        </w:p>
        <w:p w14:paraId="776A946F"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хүрээлэн, И. Х. (2015). </w:t>
          </w:r>
          <w:r w:rsidRPr="00D34DCC">
            <w:rPr>
              <w:rFonts w:cs="Times New Roman"/>
              <w:i/>
              <w:iCs/>
              <w:noProof/>
              <w:szCs w:val="24"/>
              <w:lang w:val="mn-MN"/>
            </w:rPr>
            <w:t>Аж үйлдвэрийн салбарын хэрэгцээний үнэлгээ.</w:t>
          </w:r>
          <w:r w:rsidRPr="00D34DCC">
            <w:rPr>
              <w:rFonts w:cs="Times New Roman"/>
              <w:noProof/>
              <w:szCs w:val="24"/>
              <w:lang w:val="mn-MN"/>
            </w:rPr>
            <w:t xml:space="preserve"> Улаанбаатар.</w:t>
          </w:r>
        </w:p>
        <w:p w14:paraId="4ECD5272"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хүрээлэн, И. Х. (2015). </w:t>
          </w:r>
          <w:r w:rsidRPr="00D34DCC">
            <w:rPr>
              <w:rFonts w:cs="Times New Roman"/>
              <w:i/>
              <w:iCs/>
              <w:noProof/>
              <w:szCs w:val="24"/>
              <w:lang w:val="mn-MN"/>
            </w:rPr>
            <w:t>Аж үйлдвэрийн салбарын хэрэгцээний үнэлгээ.</w:t>
          </w:r>
          <w:r w:rsidRPr="00D34DCC">
            <w:rPr>
              <w:rFonts w:cs="Times New Roman"/>
              <w:noProof/>
              <w:szCs w:val="24"/>
              <w:lang w:val="mn-MN"/>
            </w:rPr>
            <w:t xml:space="preserve"> Улаанбаатар.</w:t>
          </w:r>
        </w:p>
        <w:p w14:paraId="35E0BD73"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Нарантуяа Н. (2012). </w:t>
          </w:r>
          <w:r w:rsidRPr="00D34DCC">
            <w:rPr>
              <w:rFonts w:cs="Times New Roman"/>
              <w:i/>
              <w:iCs/>
              <w:noProof/>
              <w:szCs w:val="24"/>
              <w:lang w:val="mn-MN"/>
            </w:rPr>
            <w:t>Боловсролын удирдлага.</w:t>
          </w:r>
          <w:r w:rsidRPr="00D34DCC">
            <w:rPr>
              <w:rFonts w:cs="Times New Roman"/>
              <w:noProof/>
              <w:szCs w:val="24"/>
              <w:lang w:val="mn-MN"/>
            </w:rPr>
            <w:t xml:space="preserve"> УБ.</w:t>
          </w:r>
        </w:p>
        <w:p w14:paraId="09D0BD0C"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Арвинбаяр, Б. (2009). </w:t>
          </w:r>
          <w:r w:rsidRPr="00D34DCC">
            <w:rPr>
              <w:rFonts w:cs="Times New Roman"/>
              <w:i/>
              <w:iCs/>
              <w:noProof/>
              <w:szCs w:val="24"/>
              <w:lang w:val="mn-MN"/>
            </w:rPr>
            <w:t>Шинжлэх ухааны технологийн сангийн зарцуулалт, үр дүнгийн мониторинг.</w:t>
          </w:r>
          <w:r w:rsidRPr="00D34DCC">
            <w:rPr>
              <w:rFonts w:cs="Times New Roman"/>
              <w:noProof/>
              <w:szCs w:val="24"/>
              <w:lang w:val="mn-MN"/>
            </w:rPr>
            <w:t xml:space="preserve"> 2009: Нээлттэй Нийгэм Форум.</w:t>
          </w:r>
        </w:p>
        <w:p w14:paraId="27F127CA"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Даваасүрэн, Б. (2015). </w:t>
          </w:r>
          <w:r w:rsidRPr="00D34DCC">
            <w:rPr>
              <w:rFonts w:cs="Times New Roman"/>
              <w:i/>
              <w:iCs/>
              <w:noProof/>
              <w:szCs w:val="24"/>
              <w:lang w:val="mn-MN"/>
            </w:rPr>
            <w:t>Монгол улсын аж үйлдвэрийн салбаруудын технологийн түвшний үнэлгээ, технологийн бэлэн байдал.</w:t>
          </w:r>
          <w:r w:rsidRPr="00D34DCC">
            <w:rPr>
              <w:rFonts w:cs="Times New Roman"/>
              <w:noProof/>
              <w:szCs w:val="24"/>
              <w:lang w:val="mn-MN"/>
            </w:rPr>
            <w:t xml:space="preserve"> Улаанбаатар: Технологийн хөгжлийн хүрээлэн ТББ.</w:t>
          </w:r>
        </w:p>
        <w:p w14:paraId="69902D39" w14:textId="77777777" w:rsidR="00D34DCC" w:rsidRPr="00D34DCC" w:rsidRDefault="00D34DCC" w:rsidP="00D34DCC">
          <w:pPr>
            <w:pStyle w:val="Bibliography"/>
            <w:ind w:left="720" w:hanging="720"/>
            <w:rPr>
              <w:rFonts w:cs="Times New Roman"/>
              <w:noProof/>
              <w:szCs w:val="24"/>
              <w:lang w:val="uz-Cyrl-UZ"/>
            </w:rPr>
          </w:pPr>
          <w:r w:rsidRPr="00D34DCC">
            <w:rPr>
              <w:rFonts w:cs="Times New Roman"/>
              <w:noProof/>
              <w:szCs w:val="24"/>
              <w:lang w:val="uz-Cyrl-UZ"/>
            </w:rPr>
            <w:t xml:space="preserve">Bils, M., &amp; Klenow, P. (2000). Does Schooling Cause Growth? </w:t>
          </w:r>
          <w:r w:rsidRPr="00D34DCC">
            <w:rPr>
              <w:rFonts w:cs="Times New Roman"/>
              <w:i/>
              <w:iCs/>
              <w:noProof/>
              <w:szCs w:val="24"/>
              <w:lang w:val="uz-Cyrl-UZ"/>
            </w:rPr>
            <w:t>American Economic Review, 90</w:t>
          </w:r>
          <w:r w:rsidRPr="00D34DCC">
            <w:rPr>
              <w:rFonts w:cs="Times New Roman"/>
              <w:noProof/>
              <w:szCs w:val="24"/>
              <w:lang w:val="uz-Cyrl-UZ"/>
            </w:rPr>
            <w:t>(5), 1160-1183.</w:t>
          </w:r>
        </w:p>
        <w:p w14:paraId="5B23D06D"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Bray, Mark, Surengiin Davaa, Seth Spaulding, and John C. Weidman. . (1994). Transition from Socialism and the Financing of Higher Education: The case of Mongolia. </w:t>
          </w:r>
          <w:r w:rsidRPr="00D34DCC">
            <w:rPr>
              <w:rFonts w:cs="Times New Roman"/>
              <w:i/>
              <w:iCs/>
              <w:noProof/>
              <w:szCs w:val="24"/>
              <w:lang w:val="mn-MN"/>
            </w:rPr>
            <w:t>Higher Education Policy</w:t>
          </w:r>
          <w:r w:rsidRPr="00D34DCC">
            <w:rPr>
              <w:rFonts w:cs="Times New Roman"/>
              <w:noProof/>
              <w:szCs w:val="24"/>
              <w:lang w:val="mn-MN"/>
            </w:rPr>
            <w:t>, 36-42.</w:t>
          </w:r>
        </w:p>
        <w:p w14:paraId="07FFD4F2"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Carnegie . (2006 оны 12 04). http:/www.carnegie foundation.org/classification of higher education.-ээс Гаргасан</w:t>
          </w:r>
        </w:p>
        <w:p w14:paraId="7C98F83D"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Claudio, M., &amp; Patrinos, H. (2014). </w:t>
          </w:r>
          <w:r w:rsidRPr="00D34DCC">
            <w:rPr>
              <w:rFonts w:cs="Times New Roman"/>
              <w:i/>
              <w:iCs/>
              <w:noProof/>
              <w:szCs w:val="24"/>
              <w:lang w:val="mn-MN"/>
            </w:rPr>
            <w:t>Comparable Estimates of Returns to Schooling Around the World.</w:t>
          </w:r>
          <w:r w:rsidRPr="00D34DCC">
            <w:rPr>
              <w:rFonts w:cs="Times New Roman"/>
              <w:noProof/>
              <w:szCs w:val="24"/>
              <w:lang w:val="mn-MN"/>
            </w:rPr>
            <w:t xml:space="preserve"> World bank group.</w:t>
          </w:r>
        </w:p>
        <w:p w14:paraId="1378426F"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Coloradо. (2013). </w:t>
          </w:r>
          <w:r w:rsidRPr="00D34DCC">
            <w:rPr>
              <w:rFonts w:cs="Times New Roman"/>
              <w:i/>
              <w:iCs/>
              <w:noProof/>
              <w:szCs w:val="24"/>
              <w:lang w:val="mn-MN"/>
            </w:rPr>
            <w:t>http://facultyaffairs.colorada.edufaculty-titles</w:t>
          </w:r>
          <w:r w:rsidRPr="00D34DCC">
            <w:rPr>
              <w:rFonts w:cs="Times New Roman"/>
              <w:noProof/>
              <w:szCs w:val="24"/>
              <w:lang w:val="mn-MN"/>
            </w:rPr>
            <w:t>.</w:t>
          </w:r>
        </w:p>
        <w:p w14:paraId="079962FC" w14:textId="77777777" w:rsidR="00D34DCC" w:rsidRPr="00D34DCC" w:rsidRDefault="00D34DCC" w:rsidP="00D34DCC">
          <w:pPr>
            <w:pStyle w:val="Bibliography"/>
            <w:ind w:left="720" w:hanging="720"/>
            <w:rPr>
              <w:rFonts w:cs="Times New Roman"/>
              <w:noProof/>
              <w:szCs w:val="24"/>
              <w:lang w:val="uz-Cyrl-UZ"/>
            </w:rPr>
          </w:pPr>
          <w:r w:rsidRPr="00D34DCC">
            <w:rPr>
              <w:rFonts w:cs="Times New Roman"/>
              <w:noProof/>
              <w:szCs w:val="24"/>
              <w:lang w:val="uz-Cyrl-UZ"/>
            </w:rPr>
            <w:lastRenderedPageBreak/>
            <w:t xml:space="preserve">Crivellaro, E. (2012). Returns to college over time: trends in Europe in the last 15 years. Stuck on the puzzle. </w:t>
          </w:r>
          <w:r w:rsidRPr="00D34DCC">
            <w:rPr>
              <w:rFonts w:cs="Times New Roman"/>
              <w:i/>
              <w:iCs/>
              <w:noProof/>
              <w:szCs w:val="24"/>
              <w:lang w:val="uz-Cyrl-UZ"/>
            </w:rPr>
            <w:t>Working Paper No. 146. University of Padova</w:t>
          </w:r>
          <w:r w:rsidRPr="00D34DCC">
            <w:rPr>
              <w:rFonts w:cs="Times New Roman"/>
              <w:noProof/>
              <w:szCs w:val="24"/>
              <w:lang w:val="uz-Cyrl-UZ"/>
            </w:rPr>
            <w:t>.</w:t>
          </w:r>
        </w:p>
        <w:p w14:paraId="22771C0A"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Dahl, G. (2002). Mobility and the return to education: Testing a Roy model with multiple markets. </w:t>
          </w:r>
          <w:r w:rsidRPr="00D34DCC">
            <w:rPr>
              <w:rFonts w:cs="Times New Roman"/>
              <w:i/>
              <w:iCs/>
              <w:noProof/>
              <w:szCs w:val="24"/>
              <w:lang w:val="mn-MN"/>
            </w:rPr>
            <w:t>Econometrica</w:t>
          </w:r>
          <w:r w:rsidRPr="00D34DCC">
            <w:rPr>
              <w:rFonts w:cs="Times New Roman"/>
              <w:noProof/>
              <w:szCs w:val="24"/>
              <w:lang w:val="mn-MN"/>
            </w:rPr>
            <w:t>, 70 (6), 2367–2420.</w:t>
          </w:r>
        </w:p>
        <w:p w14:paraId="4E7B71D7"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Emiliana Vegas, Ilana Umansky. (2005). </w:t>
          </w:r>
          <w:r w:rsidRPr="00D34DCC">
            <w:rPr>
              <w:rFonts w:cs="Times New Roman"/>
              <w:i/>
              <w:iCs/>
              <w:noProof/>
              <w:szCs w:val="24"/>
              <w:lang w:val="mn-MN"/>
            </w:rPr>
            <w:t>Incenrives to improve teaching:Lessons from Latin America.</w:t>
          </w:r>
          <w:r w:rsidRPr="00D34DCC">
            <w:rPr>
              <w:rFonts w:cs="Times New Roman"/>
              <w:noProof/>
              <w:szCs w:val="24"/>
              <w:lang w:val="mn-MN"/>
            </w:rPr>
            <w:t xml:space="preserve"> New York.</w:t>
          </w:r>
        </w:p>
        <w:p w14:paraId="70CB2682"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Jung-Hwan Park, Chang-Bae Moon. (2011). Design and development of a Teaching Assesstment system for improving Teaching skill in u-Cumpus. . </w:t>
          </w:r>
          <w:r w:rsidRPr="00D34DCC">
            <w:rPr>
              <w:rFonts w:cs="Times New Roman"/>
              <w:i/>
              <w:iCs/>
              <w:noProof/>
              <w:szCs w:val="24"/>
              <w:lang w:val="mn-MN"/>
            </w:rPr>
            <w:t>Journal of the Korea Academia-industral cooperation society</w:t>
          </w:r>
          <w:r w:rsidRPr="00D34DCC">
            <w:rPr>
              <w:rFonts w:cs="Times New Roman"/>
              <w:noProof/>
              <w:szCs w:val="24"/>
              <w:lang w:val="mn-MN"/>
            </w:rPr>
            <w:t>, Vol 12. No 5 pp.2124-2132.</w:t>
          </w:r>
        </w:p>
        <w:p w14:paraId="3C914E86"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Krueger, D. P. (2010). Cross-sectional facts for macroeconomists. </w:t>
          </w:r>
          <w:r w:rsidRPr="00D34DCC">
            <w:rPr>
              <w:rFonts w:cs="Times New Roman"/>
              <w:i/>
              <w:iCs/>
              <w:noProof/>
              <w:szCs w:val="24"/>
              <w:lang w:val="mn-MN"/>
            </w:rPr>
            <w:t>Review of Economic Dynamics</w:t>
          </w:r>
          <w:r w:rsidRPr="00D34DCC">
            <w:rPr>
              <w:rFonts w:cs="Times New Roman"/>
              <w:noProof/>
              <w:szCs w:val="24"/>
              <w:lang w:val="mn-MN"/>
            </w:rPr>
            <w:t>, 13 (1), 1–14.</w:t>
          </w:r>
        </w:p>
        <w:p w14:paraId="2D7E49EA"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Lkhagvasuren, D. (2014). Education, Mobility and the College Wage Premium. </w:t>
          </w:r>
          <w:r w:rsidRPr="00D34DCC">
            <w:rPr>
              <w:rFonts w:cs="Times New Roman"/>
              <w:i/>
              <w:iCs/>
              <w:noProof/>
              <w:szCs w:val="24"/>
              <w:lang w:val="mn-MN"/>
            </w:rPr>
            <w:t>European Economic Review</w:t>
          </w:r>
          <w:r w:rsidRPr="00D34DCC">
            <w:rPr>
              <w:rFonts w:cs="Times New Roman"/>
              <w:noProof/>
              <w:szCs w:val="24"/>
              <w:lang w:val="mn-MN"/>
            </w:rPr>
            <w:t>, Vol 67: 159-173.</w:t>
          </w:r>
        </w:p>
        <w:p w14:paraId="60E66AAD"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Machin, S. P. (2012). Education and mobility. </w:t>
          </w:r>
          <w:r w:rsidRPr="00D34DCC">
            <w:rPr>
              <w:rFonts w:cs="Times New Roman"/>
              <w:i/>
              <w:iCs/>
              <w:noProof/>
              <w:szCs w:val="24"/>
              <w:lang w:val="mn-MN"/>
            </w:rPr>
            <w:t>Journal of the European Economic Association</w:t>
          </w:r>
          <w:r w:rsidRPr="00D34DCC">
            <w:rPr>
              <w:rFonts w:cs="Times New Roman"/>
              <w:noProof/>
              <w:szCs w:val="24"/>
              <w:lang w:val="mn-MN"/>
            </w:rPr>
            <w:t>, 10 (2), 1–15.</w:t>
          </w:r>
        </w:p>
        <w:p w14:paraId="0297526E"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Malamud, O. W. (2012). The impact of college education on geographic mobility. </w:t>
          </w:r>
          <w:r w:rsidRPr="00D34DCC">
            <w:rPr>
              <w:rFonts w:cs="Times New Roman"/>
              <w:i/>
              <w:iCs/>
              <w:noProof/>
              <w:szCs w:val="24"/>
              <w:lang w:val="mn-MN"/>
            </w:rPr>
            <w:t>Journal of Human Resources</w:t>
          </w:r>
          <w:r w:rsidRPr="00D34DCC">
            <w:rPr>
              <w:rFonts w:cs="Times New Roman"/>
              <w:noProof/>
              <w:szCs w:val="24"/>
              <w:lang w:val="mn-MN"/>
            </w:rPr>
            <w:t>, 47 (4), 913–950.</w:t>
          </w:r>
        </w:p>
        <w:p w14:paraId="024208CD" w14:textId="77777777" w:rsidR="00D34DCC" w:rsidRPr="00D34DCC" w:rsidRDefault="00D34DCC" w:rsidP="00D34DCC">
          <w:pPr>
            <w:pStyle w:val="Bibliography"/>
            <w:ind w:left="720" w:hanging="720"/>
            <w:rPr>
              <w:rFonts w:cs="Times New Roman"/>
              <w:noProof/>
              <w:szCs w:val="24"/>
              <w:lang w:val="mn-MN"/>
            </w:rPr>
          </w:pPr>
          <w:r w:rsidRPr="00D34DCC">
            <w:rPr>
              <w:rFonts w:cs="Times New Roman"/>
              <w:noProof/>
              <w:szCs w:val="24"/>
              <w:lang w:val="mn-MN"/>
            </w:rPr>
            <w:t xml:space="preserve">Mincer, J. (1958). Investment in Human Capital and Personal Income Distribution. </w:t>
          </w:r>
          <w:r w:rsidRPr="00D34DCC">
            <w:rPr>
              <w:rFonts w:cs="Times New Roman"/>
              <w:i/>
              <w:iCs/>
              <w:noProof/>
              <w:szCs w:val="24"/>
              <w:lang w:val="mn-MN"/>
            </w:rPr>
            <w:t>Journal of Political Economy</w:t>
          </w:r>
          <w:r w:rsidRPr="00D34DCC">
            <w:rPr>
              <w:rFonts w:cs="Times New Roman"/>
              <w:noProof/>
              <w:szCs w:val="24"/>
              <w:lang w:val="mn-MN"/>
            </w:rPr>
            <w:t>, 66 (4): 281-302.</w:t>
          </w:r>
        </w:p>
        <w:p w14:paraId="2D8D622E" w14:textId="3A5854DA" w:rsidR="00CC699E" w:rsidRPr="00D34DCC" w:rsidRDefault="00D34DCC" w:rsidP="00D34DCC">
          <w:pPr>
            <w:rPr>
              <w:rFonts w:ascii="Times New Roman" w:hAnsi="Times New Roman" w:cs="Times New Roman"/>
              <w:sz w:val="24"/>
              <w:szCs w:val="24"/>
            </w:rPr>
          </w:pPr>
          <w:r w:rsidRPr="00D34DCC">
            <w:rPr>
              <w:rFonts w:ascii="Times New Roman" w:hAnsi="Times New Roman" w:cs="Times New Roman"/>
              <w:sz w:val="24"/>
              <w:szCs w:val="24"/>
            </w:rPr>
            <w:fldChar w:fldCharType="end"/>
          </w:r>
        </w:p>
      </w:sdtContent>
    </w:sdt>
    <w:sectPr w:rsidR="00CC699E" w:rsidRPr="00D34DC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8B7D333" w14:textId="77777777" w:rsidR="00F4718F" w:rsidRDefault="00F4718F" w:rsidP="00D34DCC">
      <w:pPr>
        <w:spacing w:after="0" w:line="240" w:lineRule="auto"/>
      </w:pPr>
      <w:r>
        <w:separator/>
      </w:r>
    </w:p>
  </w:endnote>
  <w:endnote w:type="continuationSeparator" w:id="0">
    <w:p w14:paraId="6B9DF363" w14:textId="77777777" w:rsidR="00F4718F" w:rsidRDefault="00F4718F" w:rsidP="00D34D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7E97053" w14:textId="77777777" w:rsidR="00F4718F" w:rsidRDefault="00F4718F" w:rsidP="00D34DCC">
      <w:pPr>
        <w:spacing w:after="0" w:line="240" w:lineRule="auto"/>
      </w:pPr>
      <w:r>
        <w:separator/>
      </w:r>
    </w:p>
  </w:footnote>
  <w:footnote w:type="continuationSeparator" w:id="0">
    <w:p w14:paraId="10BBA7C3" w14:textId="77777777" w:rsidR="00F4718F" w:rsidRDefault="00F4718F" w:rsidP="00D34DCC">
      <w:pPr>
        <w:spacing w:after="0" w:line="240" w:lineRule="auto"/>
      </w:pPr>
      <w:r>
        <w:continuationSeparator/>
      </w:r>
    </w:p>
  </w:footnote>
  <w:footnote w:id="1">
    <w:p w14:paraId="6FE5859E" w14:textId="77777777" w:rsidR="00D34DCC" w:rsidRPr="00F82F9E" w:rsidRDefault="00D34DCC" w:rsidP="00D34DCC">
      <w:pPr>
        <w:pStyle w:val="FootnoteText"/>
        <w:rPr>
          <w:lang w:val="mn-MN"/>
        </w:rPr>
      </w:pPr>
      <w:r>
        <w:rPr>
          <w:rStyle w:val="FootnoteReference"/>
        </w:rPr>
        <w:footnoteRef/>
      </w:r>
      <w:r w:rsidRPr="006A2088">
        <w:rPr>
          <w:lang w:val="mn-MN"/>
        </w:rPr>
        <w:t xml:space="preserve">Энэхүү </w:t>
      </w:r>
      <w:r>
        <w:rPr>
          <w:lang w:val="mn-MN"/>
        </w:rPr>
        <w:t xml:space="preserve">судалгааны зарим хэсэг нь Боловсрол, соёл, шинжлэх ухааны яам, Азийн хөгжлийн банкны хэрэгжүүлж буй </w:t>
      </w:r>
      <w:r w:rsidRPr="006A2088">
        <w:rPr>
          <w:lang w:val="mn-MN"/>
        </w:rPr>
        <w:t>Дээд боловсролын шинэчлэл</w:t>
      </w:r>
      <w:r>
        <w:rPr>
          <w:lang w:val="mn-MN"/>
        </w:rPr>
        <w:t>ийн</w:t>
      </w:r>
      <w:r w:rsidRPr="006A2088">
        <w:rPr>
          <w:lang w:val="mn-MN"/>
        </w:rPr>
        <w:t xml:space="preserve"> төс</w:t>
      </w:r>
      <w:r>
        <w:rPr>
          <w:lang w:val="mn-MN"/>
        </w:rPr>
        <w:t xml:space="preserve">лийн хүрээнд </w:t>
      </w:r>
      <w:r>
        <w:t xml:space="preserve">IRIM </w:t>
      </w:r>
      <w:r>
        <w:rPr>
          <w:lang w:val="mn-MN"/>
        </w:rPr>
        <w:t>судалгааны хүрээлэнгийн гүйцэтгэсэн “</w:t>
      </w:r>
      <w:r w:rsidRPr="006A2088">
        <w:rPr>
          <w:lang w:val="mn-MN"/>
        </w:rPr>
        <w:t>Дээд боловсролыг хөдөлмөрийн зах зээлтэй уялдуулах</w:t>
      </w:r>
      <w:r>
        <w:rPr>
          <w:lang w:val="mn-MN"/>
        </w:rPr>
        <w:t xml:space="preserve"> нь” </w:t>
      </w:r>
      <w:r w:rsidRPr="006A2088">
        <w:rPr>
          <w:lang w:val="mn-MN"/>
        </w:rPr>
        <w:t>зөвлөх үйлчилгээ</w:t>
      </w:r>
      <w:r>
        <w:rPr>
          <w:lang w:val="mn-MN"/>
        </w:rPr>
        <w:t xml:space="preserve">гээр гүйцэтгэсэн шинжилгээ юм. </w:t>
      </w:r>
      <w:r w:rsidRPr="006F7D32">
        <w:rPr>
          <w:lang w:val="mn-MN"/>
        </w:rPr>
        <w:t xml:space="preserve">Энэхүү судалгаанд эрдэм шинжилгээний туслах </w:t>
      </w:r>
      <w:r>
        <w:rPr>
          <w:lang w:val="mn-MN"/>
        </w:rPr>
        <w:t>ажилтнаар ажилласан Г.</w:t>
      </w:r>
      <w:r w:rsidRPr="006F7D32">
        <w:rPr>
          <w:lang w:val="mn-MN"/>
        </w:rPr>
        <w:t>Нямбаярт чин сэтгэлиин талархал илэрхиилье.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030DF3"/>
    <w:multiLevelType w:val="hybridMultilevel"/>
    <w:tmpl w:val="3ADA0AD8"/>
    <w:lvl w:ilvl="0" w:tplc="4F4C7272">
      <w:start w:val="2"/>
      <w:numFmt w:val="decimal"/>
      <w:lvlText w:val="%1."/>
      <w:lvlJc w:val="left"/>
      <w:pPr>
        <w:ind w:left="99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5693425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DCC"/>
    <w:rsid w:val="001B7692"/>
    <w:rsid w:val="00310704"/>
    <w:rsid w:val="003F3FD0"/>
    <w:rsid w:val="005F3025"/>
    <w:rsid w:val="009D573D"/>
    <w:rsid w:val="00C45C06"/>
    <w:rsid w:val="00CC699E"/>
    <w:rsid w:val="00D34DCC"/>
    <w:rsid w:val="00E80D7A"/>
    <w:rsid w:val="00EF0EB8"/>
    <w:rsid w:val="00F471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26356"/>
  <w15:chartTrackingRefBased/>
  <w15:docId w15:val="{E4E15660-74E3-824D-A7D2-716795D9B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DCC"/>
    <w:pPr>
      <w:spacing w:after="200" w:line="276" w:lineRule="auto"/>
    </w:pPr>
    <w:rPr>
      <w:rFonts w:asciiTheme="minorHAnsi" w:hAnsiTheme="minorHAnsi" w:cstheme="minorBidi"/>
      <w:kern w:val="0"/>
      <w:sz w:val="22"/>
      <w:szCs w:val="22"/>
      <w14:ligatures w14:val="none"/>
    </w:rPr>
  </w:style>
  <w:style w:type="paragraph" w:styleId="Heading1">
    <w:name w:val="heading 1"/>
    <w:aliases w:val="Outline1"/>
    <w:basedOn w:val="Normal"/>
    <w:next w:val="Normal"/>
    <w:link w:val="Heading1Char"/>
    <w:uiPriority w:val="9"/>
    <w:qFormat/>
    <w:rsid w:val="00D34DC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34DC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34DC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34DC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34DC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34DC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34DC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34DC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34DC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Outline1 Char"/>
    <w:basedOn w:val="DefaultParagraphFont"/>
    <w:link w:val="Heading1"/>
    <w:uiPriority w:val="9"/>
    <w:rsid w:val="00D34DC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34DC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34DCC"/>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34DCC"/>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34DCC"/>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34DCC"/>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34DCC"/>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34DCC"/>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34DCC"/>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34DC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34DC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34DC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34DCC"/>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34DCC"/>
    <w:pPr>
      <w:spacing w:before="160"/>
      <w:jc w:val="center"/>
    </w:pPr>
    <w:rPr>
      <w:i/>
      <w:iCs/>
      <w:color w:val="404040" w:themeColor="text1" w:themeTint="BF"/>
    </w:rPr>
  </w:style>
  <w:style w:type="character" w:customStyle="1" w:styleId="QuoteChar">
    <w:name w:val="Quote Char"/>
    <w:basedOn w:val="DefaultParagraphFont"/>
    <w:link w:val="Quote"/>
    <w:uiPriority w:val="29"/>
    <w:rsid w:val="00D34DCC"/>
    <w:rPr>
      <w:i/>
      <w:iCs/>
      <w:color w:val="404040" w:themeColor="text1" w:themeTint="BF"/>
    </w:rPr>
  </w:style>
  <w:style w:type="paragraph" w:styleId="ListParagraph">
    <w:name w:val="List Paragraph"/>
    <w:basedOn w:val="Normal"/>
    <w:uiPriority w:val="34"/>
    <w:qFormat/>
    <w:rsid w:val="00D34DCC"/>
    <w:pPr>
      <w:ind w:left="720"/>
      <w:contextualSpacing/>
    </w:pPr>
  </w:style>
  <w:style w:type="character" w:styleId="IntenseEmphasis">
    <w:name w:val="Intense Emphasis"/>
    <w:basedOn w:val="DefaultParagraphFont"/>
    <w:uiPriority w:val="21"/>
    <w:qFormat/>
    <w:rsid w:val="00D34DCC"/>
    <w:rPr>
      <w:i/>
      <w:iCs/>
      <w:color w:val="0F4761" w:themeColor="accent1" w:themeShade="BF"/>
    </w:rPr>
  </w:style>
  <w:style w:type="paragraph" w:styleId="IntenseQuote">
    <w:name w:val="Intense Quote"/>
    <w:basedOn w:val="Normal"/>
    <w:next w:val="Normal"/>
    <w:link w:val="IntenseQuoteChar"/>
    <w:uiPriority w:val="30"/>
    <w:qFormat/>
    <w:rsid w:val="00D34DC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34DCC"/>
    <w:rPr>
      <w:i/>
      <w:iCs/>
      <w:color w:val="0F4761" w:themeColor="accent1" w:themeShade="BF"/>
    </w:rPr>
  </w:style>
  <w:style w:type="character" w:styleId="IntenseReference">
    <w:name w:val="Intense Reference"/>
    <w:basedOn w:val="DefaultParagraphFont"/>
    <w:uiPriority w:val="32"/>
    <w:qFormat/>
    <w:rsid w:val="00D34DCC"/>
    <w:rPr>
      <w:b/>
      <w:bCs/>
      <w:smallCaps/>
      <w:color w:val="0F4761" w:themeColor="accent1" w:themeShade="BF"/>
      <w:spacing w:val="5"/>
    </w:rPr>
  </w:style>
  <w:style w:type="paragraph" w:styleId="FootnoteText">
    <w:name w:val="footnote text"/>
    <w:basedOn w:val="Normal"/>
    <w:link w:val="FootnoteTextChar"/>
    <w:uiPriority w:val="99"/>
    <w:unhideWhenUsed/>
    <w:rsid w:val="00D34DCC"/>
    <w:pPr>
      <w:spacing w:after="0" w:line="240" w:lineRule="auto"/>
    </w:pPr>
    <w:rPr>
      <w:sz w:val="20"/>
      <w:szCs w:val="20"/>
    </w:rPr>
  </w:style>
  <w:style w:type="character" w:customStyle="1" w:styleId="FootnoteTextChar">
    <w:name w:val="Footnote Text Char"/>
    <w:basedOn w:val="DefaultParagraphFont"/>
    <w:link w:val="FootnoteText"/>
    <w:uiPriority w:val="99"/>
    <w:rsid w:val="00D34DCC"/>
    <w:rPr>
      <w:rFonts w:asciiTheme="minorHAnsi" w:hAnsiTheme="minorHAnsi" w:cstheme="minorBidi"/>
      <w:kern w:val="0"/>
      <w:sz w:val="20"/>
      <w:szCs w:val="20"/>
      <w14:ligatures w14:val="none"/>
    </w:rPr>
  </w:style>
  <w:style w:type="character" w:styleId="FootnoteReference">
    <w:name w:val="footnote reference"/>
    <w:basedOn w:val="DefaultParagraphFont"/>
    <w:uiPriority w:val="99"/>
    <w:unhideWhenUsed/>
    <w:rsid w:val="00D34DCC"/>
    <w:rPr>
      <w:vertAlign w:val="superscript"/>
    </w:rPr>
  </w:style>
  <w:style w:type="paragraph" w:styleId="Caption">
    <w:name w:val="caption"/>
    <w:basedOn w:val="Normal"/>
    <w:next w:val="Normal"/>
    <w:uiPriority w:val="35"/>
    <w:unhideWhenUsed/>
    <w:qFormat/>
    <w:rsid w:val="00D34DCC"/>
    <w:pPr>
      <w:spacing w:before="160" w:line="240" w:lineRule="auto"/>
      <w:jc w:val="center"/>
    </w:pPr>
    <w:rPr>
      <w:rFonts w:ascii="Times New Roman" w:hAnsi="Times New Roman"/>
      <w:b/>
      <w:iCs/>
      <w:szCs w:val="18"/>
    </w:rPr>
  </w:style>
  <w:style w:type="paragraph" w:styleId="Bibliography">
    <w:name w:val="Bibliography"/>
    <w:basedOn w:val="Normal"/>
    <w:next w:val="Normal"/>
    <w:uiPriority w:val="37"/>
    <w:unhideWhenUsed/>
    <w:rsid w:val="00D34DCC"/>
    <w:pPr>
      <w:spacing w:before="120" w:after="120" w:line="360" w:lineRule="auto"/>
      <w:jc w:val="both"/>
    </w:pPr>
    <w:rPr>
      <w:rFonts w:ascii="Times New Roman" w:eastAsiaTheme="minorEastAsia"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Series 1</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Sheet1!$A$2:$A$5</c:f>
              <c:strCache>
                <c:ptCount val="4"/>
                <c:pt idx="0">
                  <c:v>Хөдөө</c:v>
                </c:pt>
                <c:pt idx="1">
                  <c:v>Сумын төв</c:v>
                </c:pt>
                <c:pt idx="2">
                  <c:v>Аймгийн төв</c:v>
                </c:pt>
                <c:pt idx="3">
                  <c:v>Нийслэл</c:v>
                </c:pt>
              </c:strCache>
            </c:strRef>
          </c:cat>
          <c:val>
            <c:numRef>
              <c:f>Sheet1!$B$2:$B$5</c:f>
              <c:numCache>
                <c:formatCode>0%</c:formatCode>
                <c:ptCount val="4"/>
                <c:pt idx="0">
                  <c:v>5.0000000000000058E-2</c:v>
                </c:pt>
                <c:pt idx="1">
                  <c:v>0.19000000000000011</c:v>
                </c:pt>
                <c:pt idx="2">
                  <c:v>0.24000000000000021</c:v>
                </c:pt>
                <c:pt idx="3">
                  <c:v>0.34000000000000036</c:v>
                </c:pt>
              </c:numCache>
            </c:numRef>
          </c:val>
          <c:extLst>
            <c:ext xmlns:c16="http://schemas.microsoft.com/office/drawing/2014/chart" uri="{C3380CC4-5D6E-409C-BE32-E72D297353CC}">
              <c16:uniqueId val="{00000000-38B7-234E-AED5-1EDE5A81F152}"/>
            </c:ext>
          </c:extLst>
        </c:ser>
        <c:dLbls>
          <c:showLegendKey val="0"/>
          <c:showVal val="1"/>
          <c:showCatName val="0"/>
          <c:showSerName val="0"/>
          <c:showPercent val="0"/>
          <c:showBubbleSize val="0"/>
        </c:dLbls>
        <c:gapWidth val="150"/>
        <c:overlap val="-25"/>
        <c:axId val="375226368"/>
        <c:axId val="375229056"/>
      </c:barChart>
      <c:catAx>
        <c:axId val="375226368"/>
        <c:scaling>
          <c:orientation val="minMax"/>
        </c:scaling>
        <c:delete val="0"/>
        <c:axPos val="b"/>
        <c:numFmt formatCode="General" sourceLinked="0"/>
        <c:majorTickMark val="none"/>
        <c:minorTickMark val="none"/>
        <c:tickLblPos val="nextTo"/>
        <c:crossAx val="375229056"/>
        <c:crosses val="autoZero"/>
        <c:auto val="1"/>
        <c:lblAlgn val="ctr"/>
        <c:lblOffset val="100"/>
        <c:noMultiLvlLbl val="0"/>
      </c:catAx>
      <c:valAx>
        <c:axId val="375229056"/>
        <c:scaling>
          <c:orientation val="minMax"/>
        </c:scaling>
        <c:delete val="1"/>
        <c:axPos val="l"/>
        <c:numFmt formatCode="0%" sourceLinked="1"/>
        <c:majorTickMark val="none"/>
        <c:minorTickMark val="none"/>
        <c:tickLblPos val="none"/>
        <c:crossAx val="375226368"/>
        <c:crosses val="autoZero"/>
        <c:crossBetween val="between"/>
      </c:valAx>
    </c:plotArea>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
  <b:Source>
    <b:Tag>Min58</b:Tag>
    <b:SourceType>JournalArticle</b:SourceType>
    <b:Guid>{98DD70E5-6FCF-433F-88E7-ED977164EFD8}</b:Guid>
    <b:Author>
      <b:Author>
        <b:NameList>
          <b:Person>
            <b:Last>Mincer</b:Last>
            <b:First>J.</b:First>
          </b:Person>
        </b:NameList>
      </b:Author>
    </b:Author>
    <b:Title>Investment in Human Capital and Personal Income Distribution</b:Title>
    <b:JournalName>Journal of Political Economy</b:JournalName>
    <b:Year>1958</b:Year>
    <b:Pages>66 (4): 281-302</b:Pages>
    <b:RefOrder>1</b:RefOrder>
  </b:Source>
  <b:Source>
    <b:Tag>Cla14</b:Tag>
    <b:SourceType>Report</b:SourceType>
    <b:Guid>{A4A172F0-2359-461A-A850-D44A30CF1815}</b:Guid>
    <b:Author>
      <b:Author>
        <b:NameList>
          <b:Person>
            <b:Last>Claudio</b:Last>
            <b:First>Montenegro</b:First>
          </b:Person>
          <b:Person>
            <b:Last>Patrinos</b:Last>
            <b:First>Harry</b:First>
          </b:Person>
        </b:NameList>
      </b:Author>
    </b:Author>
    <b:Title>Comparable Estimates of Returns to Schooling Around the World</b:Title>
    <b:Year>2014</b:Year>
    <b:Publisher>World bank group</b:Publisher>
    <b:RefOrder>2</b:RefOrder>
  </b:Source>
  <b:Source>
    <b:Tag>Cri12</b:Tag>
    <b:SourceType>ArticleInAPeriodical</b:SourceType>
    <b:Guid>{6D6940EF-FD09-4FAF-8034-E752CCD71CA5}</b:Guid>
    <b:Author>
      <b:Author>
        <b:NameList>
          <b:Person>
            <b:Last>Crivellaro</b:Last>
            <b:First>E.</b:First>
          </b:Person>
        </b:NameList>
      </b:Author>
    </b:Author>
    <b:Title>Returns to college over time: trends in Europe in the last 15 years. Stuck on the puzzle</b:Title>
    <b:Year>2012</b:Year>
    <b:PeriodicalTitle>Working Paper No. 146. University of Padova</b:PeriodicalTitle>
    <b:LCID>uz-Cyrl-UZ</b:LCID>
    <b:RefOrder>3</b:RefOrder>
  </b:Source>
  <b:Source>
    <b:Tag>DLk14</b:Tag>
    <b:SourceType>JournalArticle</b:SourceType>
    <b:Guid>{C9C7E183-F3B3-42E8-AF1A-8273D0765894}</b:Guid>
    <b:Author>
      <b:Author>
        <b:NameList>
          <b:Person>
            <b:Last>Lkhagvasuren</b:Last>
            <b:First>D.</b:First>
          </b:Person>
        </b:NameList>
      </b:Author>
    </b:Author>
    <b:Title>Education, Mobility and the College Wage Premium</b:Title>
    <b:JournalName>European Economic Review</b:JournalName>
    <b:Year>2014</b:Year>
    <b:Pages>Vol 67: 159-173</b:Pages>
    <b:RefOrder>4</b:RefOrder>
  </b:Source>
  <b:Source>
    <b:Tag>Kru10</b:Tag>
    <b:SourceType>JournalArticle</b:SourceType>
    <b:Guid>{D0BFA0FA-410B-4538-9FDC-B6819882FA40}</b:Guid>
    <b:Author>
      <b:Author>
        <b:NameList>
          <b:Person>
            <b:Last>Krueger</b:Last>
            <b:First>D.,</b:First>
            <b:Middle>Perri, F., Pistaferri, L., Violante, G. L.</b:Middle>
          </b:Person>
        </b:NameList>
      </b:Author>
    </b:Author>
    <b:Title>Cross-sectional facts for macroeconomists</b:Title>
    <b:JournalName>Review of Economic Dynamics</b:JournalName>
    <b:Year>2010</b:Year>
    <b:Pages> 13 (1), 1–14.</b:Pages>
    <b:RefOrder>5</b:RefOrder>
  </b:Source>
  <b:Source>
    <b:Tag>Dah02</b:Tag>
    <b:SourceType>JournalArticle</b:SourceType>
    <b:Guid>{8E728595-7BCD-42A0-A934-553807D58481}</b:Guid>
    <b:Author>
      <b:Author>
        <b:NameList>
          <b:Person>
            <b:Last>Dahl</b:Last>
            <b:First>G.</b:First>
          </b:Person>
        </b:NameList>
      </b:Author>
    </b:Author>
    <b:Title>Mobility and the return to education: Testing a Roy model with multiple markets</b:Title>
    <b:JournalName>Econometrica</b:JournalName>
    <b:Year>2002</b:Year>
    <b:Pages>70 (6), 2367–2420</b:Pages>
    <b:RefOrder>6</b:RefOrder>
  </b:Source>
  <b:Source>
    <b:Tag>Mac12</b:Tag>
    <b:SourceType>JournalArticle</b:SourceType>
    <b:Guid>{33771EC9-4756-4D02-A103-410B58EDB437}</b:Guid>
    <b:Author>
      <b:Author>
        <b:NameList>
          <b:Person>
            <b:Last>Machin</b:Last>
            <b:First>S.,</b:First>
            <b:Middle>Pelkonen, P., Salvanes, K. G.</b:Middle>
          </b:Person>
        </b:NameList>
      </b:Author>
    </b:Author>
    <b:Title>Education and mobility</b:Title>
    <b:JournalName>Journal of the European Economic Association</b:JournalName>
    <b:Year>2012</b:Year>
    <b:Pages>10 (2), 1–15</b:Pages>
    <b:RefOrder>7</b:RefOrder>
  </b:Source>
  <b:Source>
    <b:Tag>Mal12</b:Tag>
    <b:SourceType>JournalArticle</b:SourceType>
    <b:Guid>{22AF06CA-8FC2-4C9C-8214-5A4A425D398E}</b:Guid>
    <b:Author>
      <b:Author>
        <b:NameList>
          <b:Person>
            <b:Last>Malamud</b:Last>
            <b:First>O.,</b:First>
            <b:Middle>Wozniak, A. K.</b:Middle>
          </b:Person>
        </b:NameList>
      </b:Author>
    </b:Author>
    <b:Title>The impact of college education on geographic mobility</b:Title>
    <b:JournalName>Journal of Human Resources</b:JournalName>
    <b:Year>2012</b:Year>
    <b:Pages> 47 (4), 913–950</b:Pages>
    <b:RefOrder>8</b:RefOrder>
  </b:Source>
  <b:Source>
    <b:Tag>Bil00</b:Tag>
    <b:SourceType>JournalArticle</b:SourceType>
    <b:Guid>{66D04888-1591-48DA-B625-208F8ED8C738}</b:Guid>
    <b:LCID>uz-Cyrl-UZ</b:LCID>
    <b:Author>
      <b:Author>
        <b:NameList>
          <b:Person>
            <b:Last>Bils</b:Last>
            <b:First>M</b:First>
          </b:Person>
          <b:Person>
            <b:Last>Klenow</b:Last>
            <b:First>P</b:First>
          </b:Person>
        </b:NameList>
      </b:Author>
    </b:Author>
    <b:Title>Does Schooling Cause Growth?</b:Title>
    <b:Year>2000</b:Year>
    <b:JournalName>American Economic Review</b:JournalName>
    <b:Pages>1160-1183</b:Pages>
    <b:Issue>5</b:Issue>
    <b:Volume>90</b:Volume>
    <b:RefOrder>9</b:RefOrder>
  </b:Source>
  <b:Source>
    <b:Tag>ИРИ15</b:Tag>
    <b:SourceType>Book</b:SourceType>
    <b:Guid>{95E5FBB6-FFE3-4598-8D85-CC1106F515C0}</b:Guid>
    <b:Author>
      <b:Author>
        <b:NameList>
          <b:Person>
            <b:Last>хүрээлэн</b:Last>
            <b:First>ИРИМ</b:First>
            <b:Middle>Хараат бус судалгааны</b:Middle>
          </b:Person>
        </b:NameList>
      </b:Author>
    </b:Author>
    <b:Title>Аж үйлдвэрийн салбарын хэрэгцээний үнэлгээ</b:Title>
    <b:Year>2015</b:Year>
    <b:City>Улаанбаатар</b:City>
    <b:RefOrder>10</b:RefOrder>
  </b:Source>
  <b:Source>
    <b:Tag>Дав15</b:Tag>
    <b:SourceType>Report</b:SourceType>
    <b:Guid>{12545B91-81A2-4780-B9B4-C8A7CAB5FB29}</b:Guid>
    <b:Title>Монгол улсын аж үйлдвэрийн салбаруудын технологийн түвшний үнэлгээ, технологийн бэлэн байдал</b:Title>
    <b:Year>2015</b:Year>
    <b:City>Улаанбаатар</b:City>
    <b:Publisher>Технологийн хөгжлийн хүрээлэн ТББ</b:Publisher>
    <b:Author>
      <b:Author>
        <b:NameList>
          <b:Person>
            <b:Last>Даваасүрэн</b:Last>
            <b:First>Б</b:First>
          </b:Person>
        </b:NameList>
      </b:Author>
    </b:Author>
    <b:RefOrder>11</b:RefOrder>
  </b:Source>
  <b:Source>
    <b:Tag>БСШ07</b:Tag>
    <b:SourceType>Book</b:SourceType>
    <b:Guid>{3E042EFF-6F5D-47D4-9478-60E4DDDD3394}</b:Guid>
    <b:Author>
      <b:Author>
        <b:NameList>
          <b:Person>
            <b:Last>БСШУ</b:Last>
          </b:Person>
        </b:NameList>
      </b:Author>
    </b:Author>
    <b:Title>Монгол Улсын Шинжлэх Ухаан, Технологийг 2007-2020 онд хөгжүүлэх мастер төлөвлөгөө</b:Title>
    <b:Year>2007</b:Year>
    <b:City>Улаанбаатар</b:City>
    <b:Publisher>Содпресс</b:Publisher>
    <b:RefOrder>21</b:RefOrder>
  </b:Source>
  <b:Source>
    <b:Tag>БСШ14</b:Tag>
    <b:SourceType>Book</b:SourceType>
    <b:Guid>{7A5A1E21-1A89-49E6-9134-9C301F8F9028}</b:Guid>
    <b:Author>
      <b:Author>
        <b:NameList>
          <b:Person>
            <b:Last>БСШУЯ</b:Last>
          </b:Person>
        </b:NameList>
      </b:Author>
    </b:Author>
    <b:Title>Эрдэм шинжилгээний байгууллагын дэргэд гарааны компани байгуулах журам</b:Title>
    <b:Year>2014</b:Year>
    <b:City>Улаанбаатар</b:City>
    <b:RefOrder>22</b:RefOrder>
  </b:Source>
  <b:Source>
    <b:Tag>МУЗ11</b:Tag>
    <b:SourceType>Book</b:SourceType>
    <b:Guid>{99E68D81-21E5-4992-AC37-028A9D9C6413}</b:Guid>
    <b:Author>
      <b:Author>
        <b:NameList>
          <b:Person>
            <b:Last>МУЗГ</b:Last>
          </b:Person>
        </b:NameList>
      </b:Author>
    </b:Author>
    <b:Title>Хувийн хэвшлийн хөгжлийг дэмжих үндэсний стратеги</b:Title>
    <b:Year>2011</b:Year>
    <b:City>Улаанбаатар</b:City>
    <b:RefOrder>23</b:RefOrder>
  </b:Source>
  <b:Source>
    <b:Tag>УИХ06</b:Tag>
    <b:SourceType>Book</b:SourceType>
    <b:Guid>{2DD93A2F-8EA0-4599-BDD8-D426328953EB}</b:Guid>
    <b:Author>
      <b:Author>
        <b:NameList>
          <b:Person>
            <b:Last>УИХ</b:Last>
          </b:Person>
        </b:NameList>
      </b:Author>
    </b:Author>
    <b:Title>Шинжлэх ухаан, технологийн тухай хууль</b:Title>
    <b:Year>2006</b:Year>
    <b:City>Улаанбаатар</b:City>
    <b:RefOrder>24</b:RefOrder>
  </b:Source>
  <b:Source>
    <b:Tag>Там13</b:Tag>
    <b:SourceType>Report</b:SourceType>
    <b:Guid>{3CB74327-1780-4D45-9040-9A08A16B7529}</b:Guid>
    <b:Author>
      <b:Author>
        <b:Corporate>Тамир, Ч., Мөнхбат, Л</b:Corporate>
      </b:Author>
    </b:Author>
    <b:Title>Монголын дээд боловсролын бодлого: үнэлгээ ба шинжилгээ</b:Title>
    <b:Year>2013</b:Year>
    <b:Publisher>Пикселс</b:Publisher>
    <b:City>Улаанбаатар</b:City>
    <b:RefOrder>25</b:RefOrder>
  </b:Source>
  <b:Source>
    <b:Tag>Арв09</b:Tag>
    <b:SourceType>Report</b:SourceType>
    <b:Guid>{FFE73C50-87EB-4C97-9F20-45FC7E754DC1}</b:Guid>
    <b:Author>
      <b:Author>
        <b:NameList>
          <b:Person>
            <b:Last>Арвинбаяр</b:Last>
            <b:First>Б</b:First>
          </b:Person>
        </b:NameList>
      </b:Author>
    </b:Author>
    <b:Title>Шинжлэх ухааны технологийн сангийн зарцуулалт, үр дүнгийн мониторинг</b:Title>
    <b:Year>2009</b:Year>
    <b:Publisher>Нээлттэй Нийгэм Форум</b:Publisher>
    <b:City>2009</b:City>
    <b:RefOrder>26</b:RefOrder>
  </b:Source>
  <b:Source>
    <b:Tag>Ажү15</b:Tag>
    <b:SourceType>Report</b:SourceType>
    <b:Guid>{375F7F24-6124-4439-BE4B-17DA86A699B5}</b:Guid>
    <b:Author>
      <b:Author>
        <b:NameList>
          <b:Person>
            <b:Last>яам</b:Last>
            <b:First>Аж</b:First>
            <b:Middle>үйлдвэрийн</b:Middle>
          </b:Person>
        </b:NameList>
      </b:Author>
    </b:Author>
    <b:Title>Аж үйлдвэрийн талаар баримтлах бодлого</b:Title>
    <b:Year>2015</b:Year>
    <b:City>Улаанбаатар</b:City>
    <b:RefOrder>27</b:RefOrder>
  </b:Source>
  <b:Source>
    <b:Tag>Мон07</b:Tag>
    <b:SourceType>Book</b:SourceType>
    <b:Guid>{07F26ACA-76A5-43AD-8435-D0E8871EE80F}</b:Guid>
    <b:Title>Монгол улсад үндэсний инновацийн тогтолцоог хөгжүүлэх хөтөлбөр (2008-2015)</b:Title>
    <b:Year>2007</b:Year>
    <b:City>Улаанбаатар</b:City>
    <b:RefOrder>28</b:RefOrder>
  </b:Source>
  <b:Source>
    <b:Tag>МУЗ92</b:Tag>
    <b:SourceType>JournalArticle</b:SourceType>
    <b:Guid>{91E1DE0B-DD36-48C5-9E93-9A0F7E67B9A0}</b:Guid>
    <b:Author>
      <b:Author>
        <b:NameList>
          <b:Person>
            <b:Last>МУЗГ</b:Last>
          </b:Person>
        </b:NameList>
      </b:Author>
    </b:Author>
    <b:Title>Монгол улсын засгийн газрын мөрийн хөтөлбөр /1992-1996/</b:Title>
    <b:JournalName>Үнэн</b:JournalName>
    <b:Year>1992</b:Year>
    <b:Pages>1</b:Pages>
    <b:RefOrder>29</b:RefOrder>
  </b:Source>
  <b:Source>
    <b:Tag>Bra94</b:Tag>
    <b:SourceType>JournalArticle</b:SourceType>
    <b:Guid>{2A0C3185-83CE-46A8-99D3-35E8CA229C41}</b:Guid>
    <b:Author>
      <b:Author>
        <b:Corporate>Bray, Mark, Surengiin Davaa, Seth Spaulding, and John C. Weidman. </b:Corporate>
      </b:Author>
    </b:Author>
    <b:Title>Transition from Socialism and the Financing of Higher Education: The case of Mongolia</b:Title>
    <b:JournalName>Higher Education Policy</b:JournalName>
    <b:Year>1994</b:Year>
    <b:Pages>36-42</b:Pages>
    <b:RefOrder>30</b:RefOrder>
  </b:Source>
  <b:Source>
    <b:Tag>Placeholder1</b:Tag>
    <b:SourceType>Book</b:SourceType>
    <b:Guid>{0AFD6851-8C81-4457-801C-F223A8CC9FEF}</b:Guid>
    <b:Author>
      <b:Author>
        <b:NameList>
          <b:Person>
            <b:Last>хүрээлэн</b:Last>
            <b:First>ИРИМ</b:First>
            <b:Middle>Хараат бус судалгааны</b:Middle>
          </b:Person>
        </b:NameList>
      </b:Author>
    </b:Author>
    <b:Title>Аж үйлдвэрийн салбарын хэрэгцээний үнэлгээ</b:Title>
    <b:Year>2015</b:Year>
    <b:City>Улаанбаатар</b:City>
    <b:RefOrder>31</b:RefOrder>
  </b:Source>
  <b:Source>
    <b:Tag>Дав12</b:Tag>
    <b:SourceType>Report</b:SourceType>
    <b:Guid>{269E5948-F676-4512-ACA7-AC95D8C065A1}</b:Guid>
    <b:Author>
      <b:Author>
        <b:Corporate>Даваа Ж,  ба бусад</b:Corporate>
      </b:Author>
    </b:Author>
    <b:Title>Их дээд сургууль, коллежийн багшийн хөгжлийн судалгаа</b:Title>
    <b:Year>2012</b:Year>
    <b:City>УБ</b:City>
    <b:RefOrder>12</b:RefOrder>
  </b:Source>
  <b:Source>
    <b:Tag>Бай091</b:Tag>
    <b:SourceType>Book</b:SourceType>
    <b:Guid>{DCEB5992-102D-4508-AE3B-CFF86478C551}</b:Guid>
    <b:Title>Багшийн хөгжлийн практик</b:Title>
    <b:Year>2009</b:Year>
    <b:City>УБ</b:City>
    <b:Author>
      <b:Author>
        <b:Corporate> Байгальмаа Ч</b:Corporate>
      </b:Author>
    </b:Author>
    <b:RefOrder>13</b:RefOrder>
  </b:Source>
  <b:Source>
    <b:Tag>ЯОт151</b:Tag>
    <b:SourceType>JournalArticle</b:SourceType>
    <b:Guid>{4DBE63E6-EF6D-461E-9C60-3A9142172028}</b:Guid>
    <b:Author>
      <b:Author>
        <b:Corporate>Я.Отгонбаяр</b:Corporate>
      </b:Author>
    </b:Author>
    <b:Title>Их, дээд сургуулийн багшийн хөгжлийн социологийн шинжилгээ</b:Title>
    <b:JournalName>докторын диссертаци</b:JournalName>
    <b:Year>2015</b:Year>
    <b:RefOrder>14</b:RefOrder>
  </b:Source>
  <b:Source>
    <b:Tag>Emi05</b:Tag>
    <b:SourceType>Book</b:SourceType>
    <b:Guid>{F787A084-8E53-442A-AAC1-B97CA2394EFD}</b:Guid>
    <b:Title>Incenrives to improve teaching:Lessons from Latin America</b:Title>
    <b:Year>2005</b:Year>
    <b:City>New York</b:City>
    <b:Author>
      <b:Author>
        <b:Corporate>Emiliana Vegas, Ilana Umansky</b:Corporate>
      </b:Author>
    </b:Author>
    <b:RefOrder>15</b:RefOrder>
  </b:Source>
  <b:Source>
    <b:Tag>Нар12</b:Tag>
    <b:SourceType>Book</b:SourceType>
    <b:Guid>{77862595-C173-487A-A7F3-48713A6B6539}</b:Guid>
    <b:Title>Боловсролын удирдлага</b:Title>
    <b:Year>2012</b:Year>
    <b:Author>
      <b:Author>
        <b:Corporate>Нарантуяа Н</b:Corporate>
      </b:Author>
    </b:Author>
    <b:City>УБ</b:City>
    <b:RefOrder>16</b:RefOrder>
  </b:Source>
  <b:Source>
    <b:Tag>fac13</b:Tag>
    <b:SourceType>InternetSite</b:SourceType>
    <b:Guid>{DEA78217-9FAF-48D4-9DB3-457287613916}</b:Guid>
    <b:Title>http://facultyaffairs.colorada.edufaculty-titles</b:Title>
    <b:Author>
      <b:Author>
        <b:Corporate>Coloradо</b:Corporate>
      </b:Author>
    </b:Author>
    <b:Year>2013</b:Year>
    <b:RefOrder>17</b:RefOrder>
  </b:Source>
  <b:Source>
    <b:Tag>Аки12</b:Tag>
    <b:SourceType>InternetSite</b:SourceType>
    <b:Guid>{F4FA5274-5A65-4731-8E29-A463AEF5965F}</b:Guid>
    <b:Title>Reaction to academic ranking in Japanies.</b:Title>
    <b:Year>2012</b:Year>
    <b:Author>
      <b:Author>
        <b:Corporate>Акиро Аримото</b:Corporate>
      </b:Author>
    </b:Author>
    <b:JournalName>Journal of education in Japanies</b:JournalName>
    <b:Pages>From. URL: http:/www. Researchgate.net/publication/ 226816799</b:Pages>
    <b:URL>From. URL: http:/www. Researchgate.net/publication/ 226816799</b:URL>
    <b:RefOrder>18</b:RefOrder>
  </b:Source>
  <b:Source>
    <b:Tag>Car06</b:Tag>
    <b:SourceType>InternetSite</b:SourceType>
    <b:Guid>{8E433257-3C75-4A91-BDF4-601F19FCCDAF}</b:Guid>
    <b:Author>
      <b:Author>
        <b:Corporate>Carnegie </b:Corporate>
      </b:Author>
    </b:Author>
    <b:Year>2006</b:Year>
    <b:Month>12</b:Month>
    <b:Day>04</b:Day>
    <b:URL>http:/www.carnegie foundation.org/classification of higher education.</b:URL>
    <b:RefOrder>19</b:RefOrder>
  </b:Source>
  <b:Source>
    <b:Tag>Jun11</b:Tag>
    <b:SourceType>JournalArticle</b:SourceType>
    <b:Guid>{1A24B932-2CFF-49BC-905C-53A2A86B1309}</b:Guid>
    <b:Title>  Design and development of a Teaching Assesstment system for improving Teaching skill  in u-Cumpus.    </b:Title>
    <b:Year>2011</b:Year>
    <b:Author>
      <b:Author>
        <b:Corporate>Jung-Hwan Park, Chang-Bae Moon</b:Corporate>
      </b:Author>
    </b:Author>
    <b:JournalName>Journal of the Korea Academia-industral cooperation society</b:JournalName>
    <b:Pages>Vol 12. No 5 pp.2124-2132</b:Pages>
    <b:RefOrder>20</b:RefOrder>
  </b:Source>
  <b:Source>
    <b:Tag>Хан91</b:Tag>
    <b:SourceType>JournalArticle</b:SourceType>
    <b:Guid>{FAD75C77-9975-433C-9547-E4A54C7DB51F}</b:Guid>
    <b:Author>
      <b:Author>
        <b:Corporate>Хандмаа Р.</b:Corporate>
      </b:Author>
    </b:Author>
    <b:Title>Хөгжилтэй орнуудын их дээд сургуулийн багшид тавигдах шаардлага</b:Title>
    <b:JournalName>Хүний нөөцийн менежмент</b:JournalName>
    <b:Year>2009</b:Year>
    <b:Pages> №1 х-26</b:Pages>
    <b:RefOrder>32</b:RefOrder>
  </b:Source>
  <b:Source>
    <b:Tag>МУИ121</b:Tag>
    <b:SourceType>Report</b:SourceType>
    <b:Guid>{C917DB3B-588B-4D16-B806-7ED14D16071E}</b:Guid>
    <b:Title>МУИС-ийн багшийн орон тоо, ажлын үнэлгээний журам</b:Title>
    <b:Year>2014</b:Year>
    <b:City>Захиралын 652 тоот тушаалын хавсралт 4</b:City>
    <b:Author>
      <b:Author>
        <b:Corporate>МУИС</b:Corporate>
      </b:Author>
    </b:Author>
    <b:RefOrder>33</b:RefOrder>
  </b:Source>
  <b:Source>
    <b:Tag>МУБ14</b:Tag>
    <b:SourceType>Report</b:SourceType>
    <b:Guid>{2B1D261B-C65B-40A4-AECB-F8F9AB68D647}</b:Guid>
    <b:Author>
      <b:Author>
        <b:Corporate>МУБИС</b:Corporate>
      </b:Author>
    </b:Author>
    <b:Title>МУБИС-ийн профессор багшийн ажлыг үнэлэх, дүгнэх  журам</b:Title>
    <b:Year>2014</b:Year>
    <b:City>шинэчилсэн найруулгын төсөл</b:City>
    <b:RefOrder>34</b:RefOrder>
  </b:Source>
  <b:Source>
    <b:Tag>ХАА13</b:Tag>
    <b:SourceType>Report</b:SourceType>
    <b:Guid>{9769B978-B741-472E-8FF6-5DCEF1135BC7}</b:Guid>
    <b:Author>
      <b:Author>
        <b:Corporate>ХААИС</b:Corporate>
      </b:Author>
    </b:Author>
    <b:Title>ХААИС-ийн профессор багшийн ажлыг төлөвлөх, гүйцэтгэлийг тооцох журам</b:Title>
    <b:Year>2013</b:Year>
    <b:City>УБ</b:City>
    <b:RefOrder>35</b:RefOrder>
  </b:Source>
  <b:Source>
    <b:Tag>ШУТ13</b:Tag>
    <b:SourceType>Report</b:SourceType>
    <b:Guid>{2CB8B2A9-5376-4CB0-A825-784180391552}</b:Guid>
    <b:Year>2013</b:Year>
    <b:Author>
      <b:Author>
        <b:Corporate>ШУТИС</b:Corporate>
      </b:Author>
    </b:Author>
    <b:RefOrder>36</b:RefOrder>
  </b:Source>
  <b:Source>
    <b:Tag>ХСИ13</b:Tag>
    <b:SourceType>Report</b:SourceType>
    <b:Guid>{E1DA7C49-2378-4DD8-94FA-6E47406F02BC}</b:Guid>
    <b:Author>
      <b:Author>
        <b:Corporate>ХСИС</b:Corporate>
      </b:Author>
    </b:Author>
    <b:Year>2013</b:Year>
    <b:RefOrder>37</b:RefOrder>
  </b:Source>
</b:Sources>
</file>

<file path=customXml/itemProps1.xml><?xml version="1.0" encoding="utf-8"?>
<ds:datastoreItem xmlns:ds="http://schemas.openxmlformats.org/officeDocument/2006/customXml" ds:itemID="{B1B7F22E-1BD9-C34E-98B6-7CED0C71A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3932</Words>
  <Characters>22418</Characters>
  <Application>Microsoft Office Word</Application>
  <DocSecurity>0</DocSecurity>
  <Lines>186</Lines>
  <Paragraphs>52</Paragraphs>
  <ScaleCrop>false</ScaleCrop>
  <Company/>
  <LinksUpToDate>false</LinksUpToDate>
  <CharactersWithSpaces>26298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Зол Наранцацралт</dc:creator>
  <cp:keywords/>
  <dc:description/>
  <cp:lastModifiedBy>Зол Наранцацралт</cp:lastModifiedBy>
  <cp:revision>1</cp:revision>
  <dcterms:created xsi:type="dcterms:W3CDTF">2025-07-06T08:48:00Z</dcterms:created>
  <dcterms:modified xsi:type="dcterms:W3CDTF">2025-07-06T08:48:00Z</dcterms:modified>
</cp:coreProperties>
</file>