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FBD69" w14:textId="7C820D4D" w:rsidR="00181A55" w:rsidRPr="00443D94" w:rsidRDefault="00181A55" w:rsidP="008049E2">
      <w:pPr>
        <w:spacing w:line="240" w:lineRule="auto"/>
        <w:rPr>
          <w:rFonts w:ascii="Times New Roman" w:hAnsi="Times New Roman"/>
          <w:sz w:val="24"/>
          <w:lang w:val="mn-MN"/>
        </w:rPr>
      </w:pPr>
    </w:p>
    <w:p w14:paraId="6B939DA1" w14:textId="77777777" w:rsidR="000348FE" w:rsidRPr="00443D94" w:rsidRDefault="000348FE" w:rsidP="000348FE">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29565804" w14:textId="77777777" w:rsidR="008D7D6E" w:rsidRPr="00443D94" w:rsidRDefault="008D7D6E" w:rsidP="008D7D6E">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707B5735" w14:textId="58068E74" w:rsidR="008D7D6E" w:rsidRPr="00443D94" w:rsidRDefault="008D7D6E" w:rsidP="008D7D6E">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B31EF0"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191-195 дахь тал</w:t>
      </w:r>
    </w:p>
    <w:p w14:paraId="28B6F7AD" w14:textId="0E487181" w:rsidR="00181A55" w:rsidRPr="00443D94" w:rsidRDefault="00181A55" w:rsidP="008049E2">
      <w:pPr>
        <w:spacing w:line="240" w:lineRule="auto"/>
        <w:rPr>
          <w:rFonts w:ascii="Times New Roman" w:hAnsi="Times New Roman"/>
          <w:sz w:val="24"/>
          <w:lang w:val="mn-MN"/>
        </w:rPr>
      </w:pPr>
    </w:p>
    <w:p w14:paraId="1510D127" w14:textId="41349138" w:rsidR="00181A55" w:rsidRPr="00443D94" w:rsidRDefault="00181A55" w:rsidP="008049E2">
      <w:pPr>
        <w:spacing w:line="240" w:lineRule="auto"/>
        <w:rPr>
          <w:rFonts w:ascii="Times New Roman" w:hAnsi="Times New Roman"/>
          <w:sz w:val="24"/>
          <w:lang w:val="mn-MN"/>
        </w:rPr>
      </w:pPr>
    </w:p>
    <w:p w14:paraId="32F57283" w14:textId="778E4DE9" w:rsidR="00EE16ED" w:rsidRPr="00443D94" w:rsidRDefault="00EE16ED" w:rsidP="008049E2">
      <w:pPr>
        <w:spacing w:line="240" w:lineRule="auto"/>
        <w:ind w:right="-23"/>
        <w:jc w:val="center"/>
        <w:rPr>
          <w:rFonts w:ascii="Times New Roman" w:eastAsia="Times New Roman" w:hAnsi="Times New Roman"/>
          <w:b/>
          <w:sz w:val="24"/>
          <w:lang w:val="mn-MN"/>
        </w:rPr>
      </w:pPr>
      <w:r w:rsidRPr="00443D94">
        <w:rPr>
          <w:rFonts w:ascii="Times New Roman" w:eastAsia="Times New Roman" w:hAnsi="Times New Roman"/>
          <w:b/>
          <w:sz w:val="24"/>
          <w:lang w:val="mn-MN"/>
        </w:rPr>
        <w:t>ТӨРИЙН ЭРХ МЭДЭЛ ХУВААРИЛАХ ЗАРЧМЫН АНГИЛАЛ БА ХУУЛЬ</w:t>
      </w:r>
      <w:r w:rsidR="00E33AFB" w:rsidRPr="00443D94">
        <w:rPr>
          <w:rFonts w:ascii="Times New Roman" w:eastAsia="Times New Roman" w:hAnsi="Times New Roman"/>
          <w:b/>
          <w:sz w:val="24"/>
          <w:lang w:val="mn-MN"/>
        </w:rPr>
        <w:t xml:space="preserve"> </w:t>
      </w:r>
      <w:r w:rsidRPr="00443D94">
        <w:rPr>
          <w:rFonts w:ascii="Times New Roman" w:eastAsia="Times New Roman" w:hAnsi="Times New Roman"/>
          <w:b/>
          <w:sz w:val="24"/>
          <w:lang w:val="mn-MN"/>
        </w:rPr>
        <w:t>ТОГТООХ, ГҮЙЦЭТГЭХ ЭРХ МЭДЛИЙН АСУУДАЛД</w:t>
      </w:r>
    </w:p>
    <w:p w14:paraId="0D36C7FC" w14:textId="77777777" w:rsidR="00EE16ED" w:rsidRPr="00443D94" w:rsidRDefault="00EE16ED" w:rsidP="008049E2">
      <w:pPr>
        <w:spacing w:line="240" w:lineRule="auto"/>
        <w:ind w:right="-23"/>
        <w:jc w:val="both"/>
        <w:rPr>
          <w:rFonts w:ascii="Times New Roman" w:eastAsia="Times New Roman" w:hAnsi="Times New Roman"/>
          <w:b/>
          <w:sz w:val="24"/>
          <w:lang w:val="mn-MN"/>
        </w:rPr>
      </w:pPr>
    </w:p>
    <w:p w14:paraId="09A2D176" w14:textId="77777777" w:rsidR="00EE16ED" w:rsidRPr="00443D94" w:rsidRDefault="00EE16ED" w:rsidP="008049E2">
      <w:pPr>
        <w:spacing w:line="240" w:lineRule="auto"/>
        <w:ind w:right="-23"/>
        <w:jc w:val="both"/>
        <w:rPr>
          <w:rFonts w:ascii="Times New Roman" w:eastAsia="Times New Roman" w:hAnsi="Times New Roman"/>
          <w:b/>
          <w:sz w:val="24"/>
          <w:lang w:val="mn-MN"/>
        </w:rPr>
      </w:pPr>
    </w:p>
    <w:p w14:paraId="464A5736" w14:textId="77777777" w:rsidR="00EE16ED" w:rsidRPr="00443D94" w:rsidRDefault="00EE16ED" w:rsidP="008049E2">
      <w:pPr>
        <w:spacing w:line="240" w:lineRule="auto"/>
        <w:ind w:right="-23"/>
        <w:jc w:val="center"/>
        <w:rPr>
          <w:rFonts w:ascii="Times New Roman" w:eastAsia="Times New Roman" w:hAnsi="Times New Roman"/>
          <w:b/>
          <w:bCs/>
          <w:sz w:val="24"/>
          <w:lang w:val="mn-MN"/>
        </w:rPr>
      </w:pPr>
      <w:r w:rsidRPr="00443D94">
        <w:rPr>
          <w:rFonts w:ascii="Times New Roman" w:eastAsia="Times New Roman" w:hAnsi="Times New Roman"/>
          <w:b/>
          <w:bCs/>
          <w:sz w:val="24"/>
          <w:lang w:val="mn-MN"/>
        </w:rPr>
        <w:t>Г.Цэнд-Аюуш</w:t>
      </w:r>
    </w:p>
    <w:p w14:paraId="2D008710" w14:textId="153F48C4" w:rsidR="00EE16ED" w:rsidRPr="00443D94" w:rsidRDefault="00EE16ED" w:rsidP="008049E2">
      <w:pPr>
        <w:spacing w:line="240" w:lineRule="auto"/>
        <w:ind w:right="-23"/>
        <w:jc w:val="center"/>
        <w:rPr>
          <w:rFonts w:ascii="Times New Roman" w:eastAsia="Times New Roman" w:hAnsi="Times New Roman"/>
          <w:sz w:val="24"/>
          <w:lang w:val="mn-MN"/>
        </w:rPr>
      </w:pPr>
      <w:r w:rsidRPr="00443D94">
        <w:rPr>
          <w:rFonts w:ascii="Times New Roman" w:eastAsia="Times New Roman" w:hAnsi="Times New Roman"/>
          <w:sz w:val="24"/>
          <w:lang w:val="mn-MN"/>
        </w:rPr>
        <w:t xml:space="preserve">МУИС-ийн </w:t>
      </w:r>
      <w:r w:rsidR="00F016D2" w:rsidRPr="00443D94">
        <w:rPr>
          <w:rFonts w:ascii="Times New Roman" w:eastAsia="Times New Roman" w:hAnsi="Times New Roman"/>
          <w:sz w:val="24"/>
          <w:lang w:val="mn-MN"/>
        </w:rPr>
        <w:t xml:space="preserve">Улс төр судлалын тэнхимийн цагийн багш, </w:t>
      </w:r>
      <w:r w:rsidRPr="00443D94">
        <w:rPr>
          <w:rFonts w:ascii="Times New Roman" w:eastAsia="Times New Roman" w:hAnsi="Times New Roman"/>
          <w:sz w:val="24"/>
          <w:lang w:val="mn-MN"/>
        </w:rPr>
        <w:t>доктор</w:t>
      </w:r>
    </w:p>
    <w:p w14:paraId="084A3F7E" w14:textId="77777777" w:rsidR="00EE16ED" w:rsidRPr="00443D94" w:rsidRDefault="00EE16ED" w:rsidP="008049E2">
      <w:pPr>
        <w:spacing w:line="240" w:lineRule="auto"/>
        <w:ind w:right="-23"/>
        <w:jc w:val="center"/>
        <w:rPr>
          <w:rFonts w:ascii="Times New Roman" w:eastAsia="Times New Roman" w:hAnsi="Times New Roman"/>
          <w:sz w:val="24"/>
          <w:lang w:val="mn-MN"/>
        </w:rPr>
      </w:pPr>
    </w:p>
    <w:p w14:paraId="23726D9D" w14:textId="77777777" w:rsidR="00EE16ED" w:rsidRPr="00443D94" w:rsidRDefault="00EE16ED" w:rsidP="008049E2">
      <w:pPr>
        <w:spacing w:line="240" w:lineRule="auto"/>
        <w:ind w:right="-23"/>
        <w:jc w:val="center"/>
        <w:rPr>
          <w:rFonts w:ascii="Times New Roman" w:eastAsia="Times New Roman" w:hAnsi="Times New Roman"/>
          <w:b/>
          <w:bCs/>
          <w:sz w:val="24"/>
          <w:lang w:val="mn-MN"/>
        </w:rPr>
      </w:pPr>
      <w:r w:rsidRPr="00443D94">
        <w:rPr>
          <w:rFonts w:ascii="Times New Roman" w:eastAsia="Times New Roman" w:hAnsi="Times New Roman"/>
          <w:b/>
          <w:bCs/>
          <w:sz w:val="24"/>
          <w:lang w:val="mn-MN"/>
        </w:rPr>
        <w:t>Д.Сүхболд</w:t>
      </w:r>
    </w:p>
    <w:p w14:paraId="77E3D348" w14:textId="77777777" w:rsidR="00EE16ED" w:rsidRPr="00443D94" w:rsidRDefault="00EE16ED" w:rsidP="008049E2">
      <w:pPr>
        <w:spacing w:line="240" w:lineRule="auto"/>
        <w:ind w:right="-23"/>
        <w:jc w:val="center"/>
        <w:rPr>
          <w:rFonts w:ascii="Times New Roman" w:eastAsia="Times New Roman" w:hAnsi="Times New Roman"/>
          <w:sz w:val="24"/>
          <w:lang w:val="mn-MN"/>
        </w:rPr>
      </w:pPr>
      <w:r w:rsidRPr="00443D94">
        <w:rPr>
          <w:rFonts w:ascii="Times New Roman" w:eastAsia="Times New Roman" w:hAnsi="Times New Roman"/>
          <w:sz w:val="24"/>
          <w:lang w:val="mn-MN"/>
        </w:rPr>
        <w:t>Улаанбаатар Эрдэм Их Сургуулийн профессор</w:t>
      </w:r>
    </w:p>
    <w:p w14:paraId="7A2D7AA5" w14:textId="77777777" w:rsidR="00EE16ED" w:rsidRPr="00443D94" w:rsidRDefault="00EE16ED" w:rsidP="008049E2">
      <w:pPr>
        <w:spacing w:line="240" w:lineRule="auto"/>
        <w:ind w:right="-23"/>
        <w:jc w:val="both"/>
        <w:rPr>
          <w:rFonts w:ascii="Times New Roman" w:eastAsia="Times New Roman" w:hAnsi="Times New Roman"/>
          <w:sz w:val="24"/>
          <w:lang w:val="mn-MN"/>
        </w:rPr>
      </w:pPr>
    </w:p>
    <w:p w14:paraId="3DC71822" w14:textId="77777777" w:rsidR="00EE16ED" w:rsidRPr="00443D94" w:rsidRDefault="00EE16ED" w:rsidP="008049E2">
      <w:pPr>
        <w:spacing w:line="240" w:lineRule="auto"/>
        <w:ind w:right="-23"/>
        <w:jc w:val="both"/>
        <w:rPr>
          <w:rFonts w:ascii="Times New Roman" w:eastAsia="Times New Roman" w:hAnsi="Times New Roman"/>
          <w:sz w:val="24"/>
          <w:lang w:val="mn-MN"/>
        </w:rPr>
      </w:pPr>
    </w:p>
    <w:p w14:paraId="19F5A480" w14:textId="76372D9B" w:rsidR="00EE16ED" w:rsidRPr="00443D94" w:rsidRDefault="00EE16ED" w:rsidP="008049E2">
      <w:pPr>
        <w:spacing w:line="240" w:lineRule="auto"/>
        <w:ind w:right="-23"/>
        <w:jc w:val="both"/>
        <w:rPr>
          <w:rFonts w:ascii="Times New Roman" w:eastAsia="Times New Roman" w:hAnsi="Times New Roman"/>
          <w:b/>
          <w:bCs/>
          <w:sz w:val="24"/>
          <w:lang w:val="mn-MN"/>
        </w:rPr>
      </w:pPr>
      <w:r w:rsidRPr="00443D94">
        <w:rPr>
          <w:rFonts w:ascii="Times New Roman" w:eastAsia="Times New Roman" w:hAnsi="Times New Roman"/>
          <w:b/>
          <w:bCs/>
          <w:sz w:val="24"/>
          <w:lang w:val="mn-MN"/>
        </w:rPr>
        <w:t>Хураангуй</w:t>
      </w:r>
    </w:p>
    <w:p w14:paraId="76E42C2E" w14:textId="77777777" w:rsidR="00F016D2" w:rsidRPr="00443D94" w:rsidRDefault="00F016D2" w:rsidP="008049E2">
      <w:pPr>
        <w:spacing w:line="240" w:lineRule="auto"/>
        <w:ind w:right="-23"/>
        <w:jc w:val="both"/>
        <w:rPr>
          <w:rFonts w:ascii="Times New Roman" w:eastAsia="Times New Roman" w:hAnsi="Times New Roman"/>
          <w:sz w:val="24"/>
          <w:lang w:val="mn-MN"/>
        </w:rPr>
      </w:pPr>
    </w:p>
    <w:p w14:paraId="7FB4754C" w14:textId="3DDD892C" w:rsidR="00EE16ED" w:rsidRPr="00443D94" w:rsidRDefault="00EE16ED" w:rsidP="008049E2">
      <w:pPr>
        <w:spacing w:line="240" w:lineRule="auto"/>
        <w:ind w:right="-23"/>
        <w:jc w:val="both"/>
        <w:rPr>
          <w:rFonts w:ascii="Times New Roman" w:eastAsia="Times New Roman" w:hAnsi="Times New Roman"/>
          <w:sz w:val="24"/>
          <w:lang w:val="mn-MN"/>
        </w:rPr>
      </w:pPr>
      <w:r w:rsidRPr="00443D94">
        <w:rPr>
          <w:rFonts w:ascii="Times New Roman" w:eastAsia="Times New Roman" w:hAnsi="Times New Roman"/>
          <w:sz w:val="24"/>
          <w:lang w:val="mn-MN"/>
        </w:rPr>
        <w:t>Энэхүү өгүүллэгээр төрийн эрх мэдлийг хуваарилах зарчмын ангилал болон хууль тогтоох, гүйцэтгэх, шүүх эрх мэдлийн онцлог, хэв шинж, тэдгээрийн хяналт, тэнцлийн асуудлыг зарим гадаад улсуудын Үндсэн хуульд тулгуурлан авч үзэв.  Парламентад олонх болсон улс төрийн нам нь хууль тогтоох, гүйцэтгэх эрх мэдлийг сүвлэн зангиддаг, Вестминстерийн хэв загвартай манайх шиг улсад төрийн эрх мэдэл хуваарилах зарчмын ангилал, тэдгээрийн ууслын талаар өгүүлсэн энэхүү өгүүлэл ач холбогдолтой байж болох юм.</w:t>
      </w:r>
    </w:p>
    <w:p w14:paraId="4904EAA8" w14:textId="77777777" w:rsidR="00EE16ED" w:rsidRPr="00443D94" w:rsidRDefault="00EE16ED" w:rsidP="008049E2">
      <w:pPr>
        <w:spacing w:line="240" w:lineRule="auto"/>
        <w:ind w:right="-23"/>
        <w:jc w:val="both"/>
        <w:rPr>
          <w:rFonts w:ascii="Times New Roman" w:eastAsia="Times New Roman" w:hAnsi="Times New Roman"/>
          <w:sz w:val="24"/>
          <w:lang w:val="mn-MN"/>
        </w:rPr>
      </w:pPr>
    </w:p>
    <w:p w14:paraId="5CAB0738" w14:textId="77777777" w:rsidR="00EE16ED" w:rsidRPr="00443D94" w:rsidRDefault="00EE16ED" w:rsidP="008049E2">
      <w:pPr>
        <w:spacing w:line="240" w:lineRule="auto"/>
        <w:ind w:right="-23"/>
        <w:jc w:val="both"/>
        <w:rPr>
          <w:rFonts w:ascii="Times New Roman" w:eastAsia="Times New Roman" w:hAnsi="Times New Roman"/>
          <w:iCs/>
          <w:sz w:val="24"/>
          <w:lang w:val="mn-MN"/>
        </w:rPr>
      </w:pPr>
      <w:r w:rsidRPr="00443D94">
        <w:rPr>
          <w:rFonts w:ascii="Times New Roman" w:eastAsia="Times New Roman" w:hAnsi="Times New Roman"/>
          <w:b/>
          <w:iCs/>
          <w:sz w:val="24"/>
          <w:lang w:val="mn-MN"/>
        </w:rPr>
        <w:t>Түлхүүр үг:</w:t>
      </w:r>
      <w:r w:rsidRPr="00443D94">
        <w:rPr>
          <w:rFonts w:ascii="Times New Roman" w:eastAsia="Times New Roman" w:hAnsi="Times New Roman"/>
          <w:iCs/>
          <w:sz w:val="24"/>
          <w:lang w:val="mn-MN"/>
        </w:rPr>
        <w:t xml:space="preserve"> Эрх мэдэл хуваарилах зарчим, хууль тогтоох засаглал, гүйцэтгэх засаглал, шүүх засаглалын харилцаа, Үндсэн хууль</w:t>
      </w:r>
    </w:p>
    <w:p w14:paraId="17E2CB21" w14:textId="77777777" w:rsidR="00F016D2" w:rsidRPr="00443D94" w:rsidRDefault="00F016D2" w:rsidP="008049E2">
      <w:pPr>
        <w:spacing w:line="240" w:lineRule="auto"/>
        <w:jc w:val="both"/>
        <w:rPr>
          <w:rFonts w:ascii="Times New Roman" w:eastAsia="Times New Roman" w:hAnsi="Times New Roman"/>
          <w:b/>
          <w:sz w:val="24"/>
          <w:lang w:val="mn-MN"/>
        </w:rPr>
      </w:pPr>
    </w:p>
    <w:p w14:paraId="5CFF0D5E" w14:textId="094785C0" w:rsidR="00EE16ED" w:rsidRPr="00443D94" w:rsidRDefault="00EE16ED" w:rsidP="008049E2">
      <w:pPr>
        <w:spacing w:line="240" w:lineRule="auto"/>
        <w:jc w:val="both"/>
        <w:rPr>
          <w:rFonts w:ascii="Times New Roman" w:hAnsi="Times New Roman"/>
          <w:sz w:val="24"/>
          <w:lang w:val="mn-MN"/>
        </w:rPr>
      </w:pPr>
      <w:r w:rsidRPr="00443D94">
        <w:rPr>
          <w:rFonts w:ascii="Times New Roman" w:eastAsia="Times New Roman" w:hAnsi="Times New Roman"/>
          <w:sz w:val="24"/>
          <w:lang w:val="mn-MN"/>
        </w:rPr>
        <w:t xml:space="preserve">Орчин цагт төрийн эрх мэдэл хуваарилах зарчим нь үндсэн хуульт болон парламентат ёсны засаглалын үнэт зүйл болоод зогсохгүй, Үндсэн хуулийн  бүтцэд суурь үзэл баримтлал болтлоо хөгжжээ. </w:t>
      </w:r>
      <w:r w:rsidRPr="00443D94">
        <w:rPr>
          <w:rFonts w:ascii="Times New Roman" w:hAnsi="Times New Roman"/>
          <w:sz w:val="24"/>
          <w:lang w:val="mn-MN"/>
        </w:rPr>
        <w:t>Ийнхүү хөгжихөд хэмжээгүй эрхт хаант засаг, дарлал, боолчлол, дарангуйлагч дэглэмийг үндсээр нь халж гарч ирсэн хувьсгалт өөрчлөлт, олон нийтийн дэвшилтэт үйл ажиллагаа шууд нөлөөлсөн юм. Жишээ нь: XVII-XVIII зууны Франц, Англи, Голландад явагдсан хэмжээгүй эрхт хаант засаглалыг эсэргүүцсэн хувьсгалууд, 1776 оны АНУ-ын тусгаар тогтнолын тунхаг, 1787 оны АНУ-ын ардчилсан Үндсэн хууль, түүнийг тайлбарлан таниулах зорилгоор Т.Жефферсон, А.Хамильтон, Ж.Жей нарын эссэ хэлбэрээр бичиж нийтлүүлсэн “The Federalist papers” бүтээл, 1789 оны Францын “хүний болон иргэний эрхийн тунхаг” зэргийг дурдаж болно.</w:t>
      </w:r>
    </w:p>
    <w:p w14:paraId="3FB0BB7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Эрх мэдэл хуваарилах зарчмын амин сүнс нь хууль батлах чиг үүрэг бүхий хууль тогтоох эрх мэдэл,  хуулийг хэрэгжүүлэх чиг үүрэгтэй гүйцэтгэх эрх мэдэл, хуулийг хэрэглэх, тайлбарлах чиг үүрэгтэй шүүх эрх мэдлийн дунд тодорхой зааг байх, эдгээрийн алинд нь ч эрх мэдэл хэт төвлөрүүлэхгүй байх, мөн эрх мэдлийн хуваарилалтыг тэнцвэржүүлэх, хоорондын харилцан хяналтыг бий болгох явдал байдаг. </w:t>
      </w:r>
    </w:p>
    <w:p w14:paraId="34C51D1A" w14:textId="77777777" w:rsidR="00F016D2" w:rsidRPr="00443D94" w:rsidRDefault="00F016D2" w:rsidP="008049E2">
      <w:pPr>
        <w:spacing w:line="240" w:lineRule="auto"/>
        <w:jc w:val="both"/>
        <w:rPr>
          <w:rFonts w:ascii="Times New Roman" w:hAnsi="Times New Roman"/>
          <w:b/>
          <w:sz w:val="24"/>
          <w:lang w:val="mn-MN"/>
        </w:rPr>
      </w:pPr>
    </w:p>
    <w:p w14:paraId="03A5B65A" w14:textId="77777777" w:rsidR="00F016D2"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 xml:space="preserve">Төрийн эрх мэдэл хуваарилах зарчмын ангилал ба эрх мэдлийн асуудал </w:t>
      </w:r>
    </w:p>
    <w:p w14:paraId="55AF39F7" w14:textId="77777777" w:rsidR="00F016D2" w:rsidRPr="00443D94" w:rsidRDefault="00F016D2" w:rsidP="008049E2">
      <w:pPr>
        <w:spacing w:line="240" w:lineRule="auto"/>
        <w:jc w:val="both"/>
        <w:rPr>
          <w:rFonts w:ascii="Times New Roman" w:hAnsi="Times New Roman"/>
          <w:b/>
          <w:sz w:val="24"/>
          <w:lang w:val="mn-MN"/>
        </w:rPr>
      </w:pPr>
    </w:p>
    <w:p w14:paraId="7A15C3A3" w14:textId="07515179"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Төрийн эрх мэдэл хуваарилах зарчмыг чиг үүргийн, институцийн, хүн хүчний гэж гурав ангилдаг. Хууль батлах, хуулийг хэрэгжүүлэх, хуулийг хэрэглэж, тайлбарлах гэсэн ангилал нь чиг үүргийн хуваарилалт юм. Хууль тогтоох, гүйцэтгэх, шүүх гэсэн гурван чиг үүргийг Парламент, Засгийн газар, шүүх гэх байгууллагад хуваарилахыг институцийн хуваарилалт </w:t>
      </w:r>
      <w:r w:rsidRPr="00443D94">
        <w:rPr>
          <w:rFonts w:ascii="Times New Roman" w:hAnsi="Times New Roman"/>
          <w:sz w:val="24"/>
          <w:lang w:val="mn-MN"/>
        </w:rPr>
        <w:lastRenderedPageBreak/>
        <w:t xml:space="preserve">гэнэ. Эцэст нь эрх мэдлийг хүн хүчний хувьд хуваарилах гэдгийг эдгээр байгууллагад ажиллах хүмүүс нь  давхцахгүй байхыг хэлнэ. </w:t>
      </w:r>
    </w:p>
    <w:p w14:paraId="11C842B9" w14:textId="77777777" w:rsidR="00A60145" w:rsidRPr="00443D94" w:rsidRDefault="00EE16ED" w:rsidP="008049E2">
      <w:pPr>
        <w:spacing w:line="240" w:lineRule="auto"/>
        <w:ind w:firstLine="720"/>
        <w:jc w:val="both"/>
        <w:rPr>
          <w:rFonts w:ascii="Times New Roman" w:hAnsi="Times New Roman"/>
          <w:color w:val="050505"/>
          <w:sz w:val="24"/>
          <w:shd w:val="clear" w:color="auto" w:fill="FFFFFF"/>
          <w:lang w:val="mn-MN"/>
        </w:rPr>
        <w:sectPr w:rsidR="00A60145"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 xml:space="preserve">Орчин цагийн бүгд найрамдах улсуудыг харвал чиг үүргийн болон институцийн эрх мэдлийн хуваарилалтыг Үндсэн хуульдаа ямар нэгэн байдлаар бэхжүүлж өгсөн байдаг. Харин хүн, хүчний хуваарилалт буюу хууль тогтоох, гүйцэтгэх шүүх эрх мэдлийн байгууллагад ажиллах хүмүүсийн ажил үүргийн хуваарийг давхцуулахгүй байлгах тал дээр онолын нэгдмэл нэг ойлголтод хүрч чадаагүй байна. Гэтэл Францын улс төрийн сэтгэлгээний түүхийг сөхөн үзвэл </w:t>
      </w:r>
      <w:r w:rsidRPr="00443D94">
        <w:rPr>
          <w:rFonts w:ascii="Times New Roman" w:hAnsi="Times New Roman"/>
          <w:color w:val="050505"/>
          <w:sz w:val="24"/>
          <w:shd w:val="clear" w:color="auto" w:fill="FFFFFF"/>
          <w:lang w:val="mn-MN"/>
        </w:rPr>
        <w:t>1789 оны Францын аугаа их хөрөнгөтний хувьсгалын зүтгэлтэн, якобинчуудын гарамгай удирдагч Ж.П.Марат тухайн үеийн шинэчлэгдсэн Франц орныг удирдах шинэ Үндсэн хуулийн төсөлдөө “Засгийн газрын гишүүнээр ажилласан хүнийг дараагийн 10 жилийн хугацаанд Засгийн газар хийгээд парламентын гишүүн байх эрхийг нь бүрмөсөн хориглох”</w:t>
      </w:r>
    </w:p>
    <w:p w14:paraId="6BCE929F" w14:textId="7AFAD7F8" w:rsidR="00EE16ED" w:rsidRPr="00443D94" w:rsidRDefault="00EE16ED" w:rsidP="00A60145">
      <w:pPr>
        <w:spacing w:line="240" w:lineRule="auto"/>
        <w:jc w:val="both"/>
        <w:rPr>
          <w:rFonts w:ascii="Times New Roman" w:hAnsi="Times New Roman"/>
          <w:sz w:val="24"/>
          <w:lang w:val="mn-MN"/>
        </w:rPr>
      </w:pPr>
      <w:r w:rsidRPr="00443D94">
        <w:rPr>
          <w:rStyle w:val="FootnoteReference"/>
          <w:rFonts w:ascii="Times New Roman" w:hAnsi="Times New Roman"/>
          <w:color w:val="050505"/>
          <w:sz w:val="24"/>
          <w:shd w:val="clear" w:color="auto" w:fill="FFFFFF"/>
          <w:lang w:val="mn-MN"/>
        </w:rPr>
        <w:footnoteReference w:id="2"/>
      </w:r>
      <w:r w:rsidRPr="00443D94">
        <w:rPr>
          <w:rFonts w:ascii="Times New Roman" w:hAnsi="Times New Roman"/>
          <w:color w:val="050505"/>
          <w:sz w:val="24"/>
          <w:shd w:val="clear" w:color="auto" w:fill="FFFFFF"/>
          <w:lang w:val="mn-MN"/>
        </w:rPr>
        <w:t xml:space="preserve"> заалтыг оруулж байжээ.</w:t>
      </w:r>
      <w:r w:rsidRPr="00443D94">
        <w:rPr>
          <w:rFonts w:ascii="Times New Roman" w:hAnsi="Times New Roman"/>
          <w:color w:val="050505"/>
          <w:sz w:val="24"/>
          <w:lang w:val="mn-MN"/>
        </w:rPr>
        <w:t xml:space="preserve"> </w:t>
      </w:r>
      <w:r w:rsidRPr="00443D94">
        <w:rPr>
          <w:rFonts w:ascii="Times New Roman" w:hAnsi="Times New Roman"/>
          <w:color w:val="050505"/>
          <w:sz w:val="24"/>
          <w:shd w:val="clear" w:color="auto" w:fill="FFFFFF"/>
          <w:lang w:val="mn-MN"/>
        </w:rPr>
        <w:t>Энэ нь төрийн эрх мэдлийг гагцхүү чиг үүргийн болон институтийн хувьд хуваарилаад зогсохгүй, хүн, хүчний хувьд ч хуваарилж, хязгаарлах ёстойг тод харуулсан жишээ болсон юм. </w:t>
      </w:r>
      <w:r w:rsidRPr="00443D94">
        <w:rPr>
          <w:rFonts w:ascii="Times New Roman" w:hAnsi="Times New Roman"/>
          <w:sz w:val="24"/>
          <w:lang w:val="mn-MN"/>
        </w:rPr>
        <w:t>Харамсалтай нь парламентын гишүүн Засгийн газрын гишүүнээр хавсран ажиллах эсэх тухай асуудал нь өнөөдөр төрийн байгуулал судлалын хувьд маргаантай асуудлын нэг болжээ. Гэтэл нэг хүнд төрийн гурван эрх мэдлийг давхардуулан олгохгүйн үүднээс эрх мэдлийг хүн, хүчний хувьд хуваарилдаг.</w:t>
      </w:r>
    </w:p>
    <w:p w14:paraId="6EDBDC6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Тухайлбал ХБНГУ-ын Үндсэн хуульд зааснаар Засгийн газрын гишүүнийг өөр албан тушаалыг хавсран ажиллахыг хориглодог. Тодруулбал 66 дугаар зүйлд нь</w:t>
      </w:r>
      <w:r w:rsidRPr="00443D94">
        <w:rPr>
          <w:rFonts w:ascii="Times New Roman" w:hAnsi="Times New Roman"/>
          <w:i/>
          <w:sz w:val="24"/>
          <w:lang w:val="mn-MN"/>
        </w:rPr>
        <w:t>“Холбооны улсын Канцлер болон Холбооны улсын сайд нар өөр цалинтай ажил, албан тушаал хаших, аж ахуйн болон мэргэжлийн ажил эрхлэх, ашгийн төлөөх аж ахуйн нэгжийн удирдлагад болон Бундестагийн зөвшөөрөлгүйгээр тэдгээрийн хяналтын зөвлөлийн гишүүнээр ажиллахыг хориглоно</w:t>
      </w:r>
      <w:r w:rsidRPr="00443D94">
        <w:rPr>
          <w:rFonts w:ascii="Times New Roman" w:hAnsi="Times New Roman"/>
          <w:sz w:val="24"/>
          <w:lang w:val="mn-MN"/>
        </w:rPr>
        <w:t>”</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хэмээн Засгийн газрын гишүүнийг өөр албан тушаал хашихыг хориглосон байдаг. Түүнчлэн ХБНГУ-ын Үндсэн хуульд “Засгийн газрын гишүүд дээд танхим болох Бундестрат болон түүний хороодын хуралдаанд оролцох эрхтэй бөгөөд Бундестрат шаардсан тохиолдолд оролцох үүрэгтэй...”</w:t>
      </w:r>
      <w:r w:rsidRPr="00443D94">
        <w:rPr>
          <w:rStyle w:val="FootnoteReference"/>
          <w:rFonts w:ascii="Times New Roman" w:hAnsi="Times New Roman"/>
          <w:sz w:val="24"/>
          <w:lang w:val="mn-MN"/>
        </w:rPr>
        <w:footnoteReference w:id="4"/>
      </w:r>
      <w:r w:rsidRPr="00443D94">
        <w:rPr>
          <w:rFonts w:ascii="Times New Roman" w:hAnsi="Times New Roman"/>
          <w:sz w:val="24"/>
          <w:lang w:val="mn-MN"/>
        </w:rPr>
        <w:t xml:space="preserve"> гэж заасан нь Засгийн газрын гишүүдийг гагцхүү дээд танхимын чуулганы хуралдаан болон түүний хороодын хуралд суух эрх, үүргийг зохицуулснаас бус Бундестагийн гишүүнээр хавсран ажиллах тухай огт дурдаагүй байна.</w:t>
      </w:r>
    </w:p>
    <w:p w14:paraId="03A2C14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Түүнчлэн Франц болон Нидерландад Засгийн газрын гишүүн парламентын гишүүн байхыг хориглодог. Тодруулбал 1958 оны Францын Үндсэн хуулийн 23 дугаар зүйлд </w:t>
      </w:r>
      <w:r w:rsidRPr="00443D94">
        <w:rPr>
          <w:rFonts w:ascii="Times New Roman" w:hAnsi="Times New Roman"/>
          <w:i/>
          <w:sz w:val="24"/>
          <w:lang w:val="mn-MN"/>
        </w:rPr>
        <w:t>“Засгийн газрын гишүүн үүрэгтээ үл хамаарах Улсын Хурлын гишүүний бүрэн эрх, нийт үндэстний төлөөллийн байгууллага болон бусад төрийн албыг хавсран ажиллаж болохгүй”</w:t>
      </w:r>
      <w:r w:rsidRPr="00443D94">
        <w:rPr>
          <w:rStyle w:val="FootnoteReference"/>
          <w:rFonts w:ascii="Times New Roman" w:hAnsi="Times New Roman"/>
          <w:sz w:val="24"/>
          <w:lang w:val="mn-MN"/>
        </w:rPr>
        <w:footnoteReference w:id="5"/>
      </w:r>
      <w:r w:rsidRPr="00443D94">
        <w:rPr>
          <w:rFonts w:ascii="Times New Roman" w:hAnsi="Times New Roman"/>
          <w:sz w:val="24"/>
          <w:lang w:val="mn-MN"/>
        </w:rPr>
        <w:t xml:space="preserve"> хэмээн заажээ.</w:t>
      </w:r>
    </w:p>
    <w:p w14:paraId="15DD3EEC" w14:textId="77777777" w:rsidR="00EE16ED"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hAnsi="Times New Roman"/>
          <w:sz w:val="24"/>
          <w:lang w:val="mn-MN"/>
        </w:rPr>
        <w:t>Түүнчлэн хууль тогтоох, гүйцэтгэх шүүх эрх мэдлийн байгууллагад ажиллах хүмүүсийн ажил үүргийн хуваарийг давхцуулахгүй байлгах хамгийн чухал үндэслэл нь тэдгээр эрх мэдлүүдийн онцлог шинжээс урган гардаг.</w:t>
      </w:r>
      <w:r w:rsidRPr="00443D94">
        <w:rPr>
          <w:rFonts w:ascii="Times New Roman" w:eastAsia="Calibri" w:hAnsi="Times New Roman"/>
          <w:sz w:val="24"/>
          <w:lang w:val="mn-MN"/>
        </w:rPr>
        <w:t xml:space="preserve"> Өөрөөр хэлбэл төрийн эрх мэдлийн гурван салаа мөчир болох хууль тогтоох, гүйцэтгэх, шүүх эрх мэдлүүд харилцан хяналт тэнцлийг үүсгэдэг боловч бүгд өөр өөрсдийн гэсэн өвөрмөц онцлог шинжүүдтэй юм. </w:t>
      </w:r>
    </w:p>
    <w:p w14:paraId="63C3A8D1" w14:textId="77777777" w:rsidR="00EE16ED"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 xml:space="preserve">Тодруулбал, хууль тогтоох эрх мэдлийн гол зорилго нь нийгмийг төлөөлөх, хууль батлах ажил хэрэг учир ард иргэддээ илүү ойр байж, асуудлыг шүүн тунгаах, нийтийн сайн сайхны тусын төлөө зөв шийдвэр гаргах, энэ хэрээрээ улс орныхоо ойрын ирээдүй, хэтийн хөгжлийг алсын хараатайгаар хардаг онцлогтой бол шүүх эрх мэдлийн хувьд бурууд хатуу, зөвд зөөлөн, товчоор хэлбэл, хүмүүнлэг, шударга ёсны зарчимч байдлын төгс илэрхийлэл болдог байх онцлогтой. </w:t>
      </w:r>
    </w:p>
    <w:p w14:paraId="022909B2" w14:textId="77777777" w:rsidR="005B462E"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Харин гүйцэтгэх эрх мэдлийн чиг үүрэг нь гадны болон дотоодын халдлагаас нийгмийг хамгаалах, хууль тогтоомжийг тогтвортой хэрэгжүүлэх, сахиулах, иргэдийн эд хөрөнгө, эрх чөлөөг хамгаалж, хангах, хуваагдал дур зоргоор үйлдэл хийх эрсдлээс улс орныг хамгаалах зэрэг олон талын ач холбогдлоор тодорхойлогдож байдаг. Хамгийн чухал нь гүйцэтгэх эрх мэдлийн энэхүү чиг үүргүүд нэгдмэл нэг удирдлагад зангидагдсан Засгийн газрын үед амжилттай хэрэгждэг. Нэгдмэл байдал нь өөрөө чадамжийг бий болгодог гэдэгтэй хэн ч маргахгүй бизээ. Чадамжтай засгийн газар бий болсноор гүйцэтгэх эрх мэдлийн хурд, хүч илүү сайжирдаг. Хүч султай гүйцэтгэх засаглалтай байна гэдэг нь засаглалын эрх мэдлийн гүйцэтгэл ч түүнийгээ дагаад сул байна гэсэн үг. Засаглалын үйл ажиллагааны хэрэгжилт сул байна гэдэг нь муу төрийн шинж ажээ.</w:t>
      </w:r>
      <w:r w:rsidRPr="00443D94">
        <w:rPr>
          <w:rStyle w:val="FootnoteReference"/>
          <w:rFonts w:ascii="Times New Roman" w:eastAsia="Calibri" w:hAnsi="Times New Roman"/>
          <w:sz w:val="24"/>
          <w:lang w:val="mn-MN"/>
        </w:rPr>
        <w:footnoteReference w:id="6"/>
      </w:r>
      <w:r w:rsidRPr="00443D94">
        <w:rPr>
          <w:rFonts w:ascii="Times New Roman" w:eastAsia="Calibri" w:hAnsi="Times New Roman"/>
          <w:sz w:val="24"/>
          <w:lang w:val="mn-MN"/>
        </w:rPr>
        <w:t xml:space="preserve"> </w:t>
      </w:r>
    </w:p>
    <w:p w14:paraId="1B2876E8" w14:textId="77777777" w:rsidR="005B462E"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 xml:space="preserve">Харамсалтай нь манайд эрх мэдэл, суудал эзлэхийн төлөө рационал болон иррационал зорилт,амлалтуудыг гол болгосон олигархиудын өрсөлдөөн болж байдаг нь нууц биш. Үүнээс үүдээд улс төрийг “толгой ур чадвараар” бус, популист үйлдлүүдээр зүтгүүлээд байгаа нь харагддаг. </w:t>
      </w:r>
    </w:p>
    <w:p w14:paraId="24E989F2" w14:textId="77777777" w:rsidR="005B462E"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М.Веберийн томьёоллоор улс төрийг амьдралынхаа орлогын эх булаг болгохыг хичээгчид улс төрийн “хишгээр” амьдрах сонирихолтой байдаг агаад тийм хүмүүс хэргийн голоос зайлах,хариуцлаггүй үйлдлийг хийдэг нүгэлд өртөмтгий байдаг ажгуу.</w:t>
      </w:r>
      <w:r w:rsidRPr="00443D94">
        <w:rPr>
          <w:rStyle w:val="FootnoteReference"/>
          <w:rFonts w:ascii="Times New Roman" w:eastAsia="Calibri" w:hAnsi="Times New Roman"/>
          <w:sz w:val="24"/>
          <w:lang w:val="mn-MN"/>
        </w:rPr>
        <w:footnoteReference w:id="7"/>
      </w:r>
    </w:p>
    <w:p w14:paraId="2A9ACC0F" w14:textId="77777777" w:rsidR="005B462E"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Хөдөлмөрийн хуваарийн хувьд авч үзвэл гүйцэтгэх эрх мэдлийг хэрэгжүүлэгчид маш сайн зохион байгуулагч, менежер байхаас гадна аливаа шийдвэрийг гаргахдаа заавал хуульд үндэслэх, шуурхай тасралтгүй ажиллах, олон түмэнд нээлттэй, ил тод байх зэрэг чадварыг сайтар эзэмшсэн байх ёстой.</w:t>
      </w:r>
    </w:p>
    <w:p w14:paraId="4F0E0503" w14:textId="6A110933" w:rsidR="00EE16ED"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 xml:space="preserve">Харин хууль тогтоох эрх мэдлийг хэрэгжүүлэгчид өмнө хэлсэнчлэн ээдрээтэй асуудлыг шүүн тунгаах, нийтийн сайн сайхны тусын төлөө зөв шийдвэр гаргах, энэ хэрээрээ улс орныхоо ирээдүй хэтийн хөгжлийг алсын хараатайгаар хардаг онцлогтой. </w:t>
      </w:r>
    </w:p>
    <w:p w14:paraId="67E310E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eastAsia="Calibri" w:hAnsi="Times New Roman"/>
          <w:sz w:val="24"/>
          <w:lang w:val="mn-MN"/>
        </w:rPr>
        <w:t>Ийнхүү хоёр өөр мэдлэг боловсрол, туршлага шаардсан төрийн өндөр албан тушаалыг нэг хүн хавсран хаших нь хөдөлмөрийн хуваарийн хувьд боломжгүй юм. Хэдийгээр хоёроос гурван ажлыг хийж чаддаг, чадварлаг хүмүүс бидний дунд цөөнгүй байдаг ч тэдгээр хүмүүс гагцхүү үндсэн нэг ажилдаа гол анхааарал хандуулаад, бусад ажлыг хавсран гүйцэтгэж байдаг онцлогтой. Тэгээд ч хууль тогтоох болон гүйцэтгэх эрх мэдэл гэдэг бол төрийн өндөр албан тушаал төдийгүй түүнийг худалдаачин хийгээд барилгачны ажлыг зэрэг хавсран хийхтэй харьцуулж болохгүй. Өглөө Засгийн газрын хуралдаанд суугаад, үдээс хойш нь парламентын чуулганы хуралдаанд суух нь тийм зохистой гэж үү?</w:t>
      </w:r>
    </w:p>
    <w:p w14:paraId="0D0BDBA4" w14:textId="77777777" w:rsidR="00EE16ED" w:rsidRPr="00443D94" w:rsidRDefault="00EE16ED" w:rsidP="008049E2">
      <w:pPr>
        <w:spacing w:line="240" w:lineRule="auto"/>
        <w:ind w:firstLine="720"/>
        <w:jc w:val="both"/>
        <w:rPr>
          <w:rFonts w:ascii="Times New Roman" w:eastAsia="Calibri" w:hAnsi="Times New Roman"/>
          <w:sz w:val="24"/>
          <w:lang w:val="mn-MN"/>
        </w:rPr>
      </w:pPr>
      <w:r w:rsidRPr="00443D94">
        <w:rPr>
          <w:rFonts w:ascii="Times New Roman" w:eastAsia="Calibri" w:hAnsi="Times New Roman"/>
          <w:sz w:val="24"/>
          <w:lang w:val="mn-MN"/>
        </w:rPr>
        <w:t xml:space="preserve">Тэгэхээр хууль тогтоох болон гүйцэтгэх эрх мэдлийг нэгэн зэрэг, хоёуланг нь сайн хэрэгжүүлэх боломжгүй агаад тухайн хүний эзэмшсэн мэдлэг боловсрол, туршлага, чадвараас хамаараад аль нэг нь дутуу гүйцэтгэлтэй байх нь зүй ёсны асуудал. </w:t>
      </w:r>
    </w:p>
    <w:p w14:paraId="1AF5C9C5"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hAnsi="Times New Roman"/>
          <w:sz w:val="24"/>
          <w:lang w:val="mn-MN"/>
        </w:rPr>
        <w:t>Улс төрийн сэтгэлгээний түүх талаас авч үзвэл төрийн эрх мэдэл хуваарилах онолыг үндэслэгчид эрх мэдлийн хооронд ямар нэгэн уусал, нэвчилт байх талаар дурдаагүй. Гэвч нийгмийн хөгжлийн явцад анхнаасаа төрийн эрх мэдлийг төвлөрүүлсэн Вестминстерийн гэх парламентын загвараас үүдэн парламентын гишүүн Засгийн газрын гишүүнээр хавсран ажиллаж болох тухай үзэл санаа үүсэн бүрэлдсэн түүхтэй.</w:t>
      </w:r>
      <w:r w:rsidRPr="00443D94">
        <w:rPr>
          <w:rFonts w:ascii="Times New Roman" w:eastAsia="Calibri" w:hAnsi="Times New Roman"/>
          <w:sz w:val="24"/>
          <w:lang w:val="mn-MN" w:eastAsia="zh-CN" w:bidi="mn-Mong-CN"/>
        </w:rPr>
        <w:t xml:space="preserve"> Гэвч тус загварыг орчин үед төрийн эрх мэдлийг төвлөрүүлсэн, сонгуульт дарангуйллыг төрүүлдэг систем хэмээн шүүмжилдэг. Төрийн эрх мэдлийг төвлөрүүлэх энэхүү системд хууль тогтоох, гүйцэтгэх, тэр ч бүү хэл шүүх эрх мэдэл</w:t>
      </w:r>
      <w:r w:rsidRPr="00443D94">
        <w:rPr>
          <w:rStyle w:val="FootnoteReference"/>
          <w:rFonts w:ascii="Times New Roman" w:eastAsia="Calibri" w:hAnsi="Times New Roman"/>
          <w:sz w:val="24"/>
          <w:lang w:val="mn-MN" w:eastAsia="zh-CN" w:bidi="mn-Mong-CN"/>
        </w:rPr>
        <w:footnoteReference w:id="8"/>
      </w:r>
      <w:r w:rsidRPr="00443D94">
        <w:rPr>
          <w:rFonts w:ascii="Times New Roman" w:eastAsia="Calibri" w:hAnsi="Times New Roman"/>
          <w:sz w:val="24"/>
          <w:lang w:val="mn-MN" w:eastAsia="zh-CN" w:bidi="mn-Mong-CN"/>
        </w:rPr>
        <w:t xml:space="preserve"> хатуу сахилга баттай намын даргад төвлөрдөг. Өөрөөр хэлбэл, Весминстерийн загвар нь сонгуульд ялсан намд хууль тогтоох болон гүйцэтгэх засаглалыг гартаа атгах боломжийг олгодог систем агаад Ерөнхий сайд, түүний кабинет улс төрийн гол тоглогч болж хувирдаг. Тодруулбал, Их Британид Нийтийн танхим хууль тогтоох эрхээ цөөн тохиолдолд хэрэгжүүлдэг агаад ихэнх тохиолдолд Кабинетийн боловсруулсан хуулийн төслийг хэлэлцдэг. Тэрчлэн парламентаас санаачилсан хуулийн төсөл нь эрх баригч намын удирдах зөвлөл буюу Засгийн газрын кабинетээр сайшаагдсан байх ёстой. Үгүй бол парламентын санаачилсан хуулийн төсөл эрх зүйн баримт бичиг болж батлагдахад төвөгтэй байдал үүсдэг. Үүний зэрэгцээ парламентаас Засгийн газрын кабинетэд эрх зүйн баримт бичиг гэж хүлээн зөвшөөрөгдөх онцгой шийдвэр гаргах эрх олгодог. Түүгээр зогсохгүй </w:t>
      </w:r>
      <w:r w:rsidRPr="00443D94">
        <w:rPr>
          <w:rFonts w:ascii="Times New Roman" w:eastAsia="Times New Roman" w:hAnsi="Times New Roman"/>
          <w:sz w:val="24"/>
          <w:lang w:val="mn-MN"/>
        </w:rPr>
        <w:t>Их Британийн парламентын доод буюу Нийтийн танхимыг Ерөнхий сайдын санал болгосноор хаан хугацаанаас нь өмнө тарааж болдог.</w:t>
      </w:r>
      <w:r w:rsidRPr="00443D94">
        <w:rPr>
          <w:rStyle w:val="FootnoteReference"/>
          <w:rFonts w:ascii="Times New Roman" w:eastAsia="Times New Roman" w:hAnsi="Times New Roman"/>
          <w:sz w:val="24"/>
          <w:lang w:val="mn-MN"/>
        </w:rPr>
        <w:footnoteReference w:id="9"/>
      </w:r>
      <w:r w:rsidRPr="00443D94">
        <w:rPr>
          <w:rFonts w:ascii="Times New Roman" w:eastAsia="Times New Roman" w:hAnsi="Times New Roman"/>
          <w:sz w:val="24"/>
          <w:lang w:val="mn-MN"/>
        </w:rPr>
        <w:t xml:space="preserve"> </w:t>
      </w:r>
    </w:p>
    <w:p w14:paraId="624A3DF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Ийнхүү Их Британийн төрийн тогтолцоонд Засгийн газрын эзлэх жин нөлөө их байдаг учраас парламентад олонх болсон намын дарга Ерөнхий сайд болж, намаасаа кабинетийн гишүүдээ бүрдүүлэхийг хориглодоггүй, эсрэгээрээ дэмждэг. Тодруулж хэлбэл, төрийн тогтолцоо нь парламент гэхээсээ илүү Засгийн газар давамгайлсан шинжтэй. </w:t>
      </w:r>
    </w:p>
    <w:p w14:paraId="55381DC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Хэдийгээр Засгийн газар давамгайлсан улс төрийн тогтолцоотой боловч Нийтийн танхимын зүгээс Засгийн газрын гишүүдийг хариуцлагад татах импичмент үйлчилдэг гэдгийг мартаж болохгүй. Тэрчлэн хоёр танхимын зохион байгуулалт болон эзэн хааны легитимчлэл нь хууль тогтоох, гүйцэтгэх, эрх мэдлийн ууслыг тодорхой хэмжээгээр сарниулж өгдөг. Тухайлбал, Засгийн газрын кабинетийн сайдууд багтдаг Нийтийн танхимаас баталсан хуулийн төслийг язгууртнуудаас бүрдсэн Лордын танхим болон Хаан хянан хэлэлцдэг. Энэ нь парламентын хоёр танхимын бүтэц, зохион байгуулалтаар хууль тогтоох, гүйцэтгэх эрх мэдлийн ууслыг тодорхой хэмжээгээр хязгаарлаж байдгын тод илрэл.</w:t>
      </w:r>
    </w:p>
    <w:p w14:paraId="64DBF89E"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Calibri" w:hAnsi="Times New Roman"/>
          <w:sz w:val="24"/>
          <w:lang w:val="mn-MN" w:eastAsia="zh-CN" w:bidi="mn-Mong-CN"/>
        </w:rPr>
        <w:t xml:space="preserve">Түүнчлэн </w:t>
      </w:r>
      <w:r w:rsidRPr="00443D94">
        <w:rPr>
          <w:rFonts w:ascii="Times New Roman" w:eastAsia="Times New Roman" w:hAnsi="Times New Roman"/>
          <w:sz w:val="24"/>
          <w:lang w:val="mn-MN"/>
        </w:rPr>
        <w:t xml:space="preserve">Их Британийн парламент 1390 гишүүнтэй, үүнээс  Лордын танхим 740 пэртэй, Нийтийн танхим 650 гишүүнтэй. Нийтийн танхим ийнхүү маш олон гишүүнтэй учраас тэнд Засгийн газрын сайдууд өчүүхэн бага хувийг эзэлдэг. Энэ нь хууль тогтоох болон гүйцэтгэх эрх мэдлийн хяналт, тэнцэл алдагдахад төдийлөн нөлөөлдөггүй. </w:t>
      </w:r>
    </w:p>
    <w:p w14:paraId="65DDB99C" w14:textId="77777777" w:rsidR="00EE16ED" w:rsidRPr="00443D94" w:rsidRDefault="00EE16ED" w:rsidP="008049E2">
      <w:pPr>
        <w:pStyle w:val="NormalWeb"/>
        <w:shd w:val="clear" w:color="auto" w:fill="FFFFFF"/>
        <w:spacing w:line="240" w:lineRule="auto"/>
        <w:ind w:firstLine="720"/>
        <w:jc w:val="both"/>
        <w:rPr>
          <w:lang w:val="mn-MN"/>
        </w:rPr>
      </w:pPr>
      <w:r w:rsidRPr="00443D94">
        <w:rPr>
          <w:lang w:val="mn-MN"/>
        </w:rPr>
        <w:t>Орчин үед парламентын гишүүн Засгийн газрын гишүүнээр хавсран ажиллахыг хориглох эсвэл зөвшөөрөх нь тухай орны засаглалын хэлбэр, улс төрийн дэглэм, улс төрийн соёл, парламентын бүтэц, зохион байгуулалт, парламентын гишүүдийн тоо зэрэг олон хүчин зүйлээс шалтгаалж байна.</w:t>
      </w:r>
    </w:p>
    <w:p w14:paraId="06268B50" w14:textId="77777777" w:rsidR="00EE16ED" w:rsidRPr="00443D94" w:rsidRDefault="00EE16ED" w:rsidP="008049E2">
      <w:pPr>
        <w:pStyle w:val="NormalWeb"/>
        <w:shd w:val="clear" w:color="auto" w:fill="FFFFFF"/>
        <w:spacing w:line="240" w:lineRule="auto"/>
        <w:ind w:firstLine="720"/>
        <w:jc w:val="both"/>
        <w:rPr>
          <w:lang w:val="mn-MN"/>
        </w:rPr>
      </w:pPr>
      <w:r w:rsidRPr="00443D94">
        <w:rPr>
          <w:lang w:val="mn-MN"/>
        </w:rPr>
        <w:t xml:space="preserve">Онол, практикийн талаас нь авч үзвэл парламентын гишүүн сайдаар хавсран ажиллах нь (1) парламентын бүгд найрамдах засаглалтай бол сайд болох боломжтой, чадварлаг хүмүүсийг иргэд урьдчилан сонгох, (2) Ерөнхий сайдын кабинетыг хүчирхэгжүүлж, парламент, Засгийн газрын хооронд хүчний тэнцвэр үүсгэх зэрэг давуу талтай байна. </w:t>
      </w:r>
    </w:p>
    <w:p w14:paraId="0FBB3649" w14:textId="54D328EA" w:rsidR="00EE16ED" w:rsidRPr="00443D94" w:rsidRDefault="00EE16ED" w:rsidP="008049E2">
      <w:pPr>
        <w:pStyle w:val="NormalWeb"/>
        <w:shd w:val="clear" w:color="auto" w:fill="FFFFFF"/>
        <w:spacing w:line="240" w:lineRule="auto"/>
        <w:ind w:firstLine="720"/>
        <w:jc w:val="both"/>
        <w:rPr>
          <w:lang w:val="mn-MN"/>
        </w:rPr>
      </w:pPr>
      <w:r w:rsidRPr="00443D94">
        <w:rPr>
          <w:lang w:val="mn-MN"/>
        </w:rPr>
        <w:t>Харин парламентын гишүүн Засгийн газрын гишүүнээр хавсран ажиллахын сул тал нь (1) парламентаас Засгийн газарт тавих хяналт сулрах буюу хууль тогтоох, гүйцэтгэх эрх мэдлийн хяналт, тэнцэл алдагдах, (2) парламентад Засгийн газрын нөлөөллийг нэмэгдүүлэх, (3) төрийн эрх мэдлийн хуваарилалт дахь хүн, хүчний хуваарилалт алдагдах, (4) салбар бүрийн төлөөллийг хангасан мэргэжлийн хүмүүсээр Засгийн газрыг бүрдүүлэх боломжгүй болох, (5) Засгийн газрын хэт улс төржилтийг дэмжих зэрэг сөрөг талууд бий болдог</w:t>
      </w:r>
      <w:r w:rsidR="003866BA" w:rsidRPr="00443D94">
        <w:rPr>
          <w:lang w:val="mn-MN"/>
        </w:rPr>
        <w:t>.</w:t>
      </w:r>
      <w:r w:rsidRPr="00443D94">
        <w:rPr>
          <w:lang w:val="mn-MN"/>
        </w:rPr>
        <w:t xml:space="preserve"> </w:t>
      </w:r>
    </w:p>
    <w:p w14:paraId="1C1E472B" w14:textId="77777777" w:rsidR="00EE16ED" w:rsidRPr="00443D94" w:rsidRDefault="00EE16ED" w:rsidP="008049E2">
      <w:pPr>
        <w:pStyle w:val="NormalWeb"/>
        <w:shd w:val="clear" w:color="auto" w:fill="FFFFFF"/>
        <w:spacing w:line="240" w:lineRule="auto"/>
        <w:ind w:firstLine="720"/>
        <w:jc w:val="both"/>
        <w:rPr>
          <w:bCs/>
          <w:lang w:val="mn-MN"/>
        </w:rPr>
      </w:pPr>
      <w:r w:rsidRPr="00443D94">
        <w:rPr>
          <w:lang w:val="mn-MN"/>
        </w:rPr>
        <w:t>Тэрчлэн Монгол Улсын Их Сургуулийн дэргэдэх Үндсэн хуулийн эрх зүйн хүрээлэнгийн судалгааг</w:t>
      </w:r>
      <w:r w:rsidRPr="00443D94">
        <w:rPr>
          <w:rStyle w:val="FootnoteReference"/>
          <w:lang w:val="mn-MN"/>
        </w:rPr>
        <w:footnoteReference w:id="10"/>
      </w:r>
      <w:r w:rsidRPr="00443D94">
        <w:rPr>
          <w:lang w:val="mn-MN"/>
        </w:rPr>
        <w:t xml:space="preserve"> харвал </w:t>
      </w:r>
      <w:r w:rsidRPr="00443D94">
        <w:rPr>
          <w:bCs/>
          <w:lang w:val="mn-MN"/>
        </w:rPr>
        <w:t>парламентын засаглалтай 38 улсын 15 нь парламентын гишүүн Засгийн газрын гишүүний албыг хавсрахыг шаарддаг болон зөвшөөрдөг байхад, 19 нь хориглодог, дөрөв нь тодорхой квот тогтоож өгсөн байна.</w:t>
      </w:r>
    </w:p>
    <w:p w14:paraId="509CFC62" w14:textId="77777777" w:rsidR="00EE16ED" w:rsidRPr="00443D94" w:rsidRDefault="00EE16ED" w:rsidP="008049E2">
      <w:pPr>
        <w:pStyle w:val="NormalWeb"/>
        <w:shd w:val="clear" w:color="auto" w:fill="FFFFFF"/>
        <w:spacing w:line="240" w:lineRule="auto"/>
        <w:ind w:firstLine="720"/>
        <w:jc w:val="both"/>
        <w:rPr>
          <w:bCs/>
          <w:lang w:val="mn-MN"/>
        </w:rPr>
      </w:pPr>
      <w:r w:rsidRPr="00443D94">
        <w:rPr>
          <w:bCs/>
          <w:lang w:val="mn-MN"/>
        </w:rPr>
        <w:t>Парламентын гишүүн Засгийн газрын гишүүн байхыг шаарддаг эсхүл зөвшөөрдөг 15 улсын хувьд долоо нь хоёр танхимтай, найман улс нэг танхимтай, 13 улс 120-оос 736 парламентын гишүүнтэй, хоёр нь 120-оос доош гишүүнтэй байна. Тодруулбал, парламентын гишүүн Засгийн газрын гишүүн байхыг шаарддаг болон зөвшөөрдөг улсууд нь нэг танхимтай, 120-оос дээш парламентын гишүүнтэй байна. Харин Мальт (65 гишүүнтэй) болон Исланд (63 гишүүнтэй) улсын хувьд парламентын гишүүний тоо нь 120-оос бага боловч парламентын гишүүн Засгийн газрын гишүүний албыг хавсран гүйцэтгэхийг зөвшөөрдөг. Эдгээр хоёр улс нь парламентын цөөнхийн оролцоог маш сайн хангаж, баталгаажуулж өгсөн байдаг тул ийнхүү зөвшөөрдөг байна.</w:t>
      </w:r>
    </w:p>
    <w:p w14:paraId="318B2B8C" w14:textId="77777777" w:rsidR="00EE16ED" w:rsidRPr="00443D94" w:rsidRDefault="00EE16ED" w:rsidP="008049E2">
      <w:pPr>
        <w:pStyle w:val="NormalWeb"/>
        <w:shd w:val="clear" w:color="auto" w:fill="FFFFFF"/>
        <w:spacing w:line="240" w:lineRule="auto"/>
        <w:ind w:firstLine="720"/>
        <w:jc w:val="both"/>
        <w:rPr>
          <w:lang w:val="mn-MN"/>
        </w:rPr>
      </w:pPr>
      <w:r w:rsidRPr="00443D94">
        <w:rPr>
          <w:lang w:val="mn-MN"/>
        </w:rPr>
        <w:t>Парламентын гишүүн Засгийн газрын гишүүний албыг хавсрахыг хориглодог 19 улсын хувьд дийлэнх нь буюу 14 нь нэг танхимтай, 5 нь хоёр танхимтай, 10 нь 151-ээс доош, 9 нь 169-өөс дээш парламентын гишүүнтэй байна. Парламентын гишүүн Засгийн газрын гишүүний албыг хавсрахад тодорхой квот тогтоодог дөрвөн улс байна. Уг дөрвөн улс болох Вануату, Белиз, Энэтхэг, Монгол нь парламентын гишүүний албыг хавсарч буй сайд нар парламентад хэт нөлөөтэй болохоос сэргийлж тэдгээрийн парламентад эзлэх хувийг өөр өөрийн онцлогтойгоор тогтоосон байна. Өөрөөр хэлбэл, парламентын нэг танхимтай, гишүүдийн тоо цөөн улсын хувьд парламентын гишүүн сайдын албыг хавсран гүйцэтгэхийг хориглох, эсхүл хязгаарлах хандлагатай харин парламентын хоёр танхимтай, гишүүдийн тоо олон тохиолдолд зөвшөөрөх эсхүл шаардах хандлагатай байна. Гэхдээ нэг танхимтай, парламентын гишүүдийн тоо цөөн зарим улсын хувьд (Мальт, Исланд) парламентын гишүүн Засгийн газрын сайдын албыг хавсран гүйцэтгэхийг зөвшөөрч өгсөн байх боловч зөвшөөрснөөр жижиг парламенттай улсад гарах сөрөг үр дагавар (тухайлбал, парламентын хяналт буурах гэх мэт)-ыг "өөр арга хэмжээ, тогтолцоогоор" нөхөж өгдөг. Тухайлбал, Мальт болон Исландын хувьд парламент дахь сөрөг хүчний хяналтыг сайтар баталгаажуулж өгсөн.</w:t>
      </w:r>
      <w:r w:rsidRPr="00443D94">
        <w:rPr>
          <w:rStyle w:val="FootnoteReference"/>
          <w:lang w:val="mn-MN"/>
        </w:rPr>
        <w:footnoteReference w:id="11"/>
      </w:r>
    </w:p>
    <w:p w14:paraId="324FD558" w14:textId="10986DE3" w:rsidR="00EE16ED" w:rsidRPr="00443D94" w:rsidRDefault="00EE16ED" w:rsidP="008049E2">
      <w:pPr>
        <w:pStyle w:val="NormalWeb"/>
        <w:shd w:val="clear" w:color="auto" w:fill="FFFFFF"/>
        <w:spacing w:line="240" w:lineRule="auto"/>
        <w:ind w:firstLine="720"/>
        <w:jc w:val="both"/>
        <w:rPr>
          <w:lang w:val="mn-MN"/>
        </w:rPr>
      </w:pPr>
      <w:r w:rsidRPr="00443D94">
        <w:rPr>
          <w:lang w:val="mn-MN"/>
        </w:rPr>
        <w:t>Дүгнэж хэлэхэд парламентын гишүүн Засгийн газрын гишүүнээр хавсран ажиллах эсэх тухай асуудлыг тодорхойлохдоо тухайн улсын засаглалын хэлбэр, парламент нь  нэг эсвэл хоёр танхимтай эсэх, парламентын гишүүдийн тоо зэрэг шалгуурыг харгалзан үзэх нь чухал.</w:t>
      </w:r>
      <w:r w:rsidR="006229D3" w:rsidRPr="00443D94">
        <w:rPr>
          <w:lang w:val="mn-MN"/>
        </w:rPr>
        <w:t xml:space="preserve"> </w:t>
      </w:r>
      <w:r w:rsidRPr="00443D94">
        <w:rPr>
          <w:lang w:val="mn-MN"/>
        </w:rPr>
        <w:t>Сүүлийн жилүүдэд “үндсэн хуулийн захиргаа” хэмээх илэрхийлэл бидэнд дасал болсон. Үндсэн хууль гэж юу вэ?.Төр улс дахь улс  төрийн засаглал нь бие биенээсээ хараат бус өөр өөрийн онцлог чиг үүрэг, зориулалт бүхий хэд хэдэн хүрээнд хуваагдсан байхыг зөвшөөрсөн хуулийг хэлнэ гэж хамгийн энгийнээр ойлгож болно. Эдүгээ үйлчилж байгаа үндсэн хуулиудаар дэлхийн улс орнууд дахь улс төрийн засаглал дээрх гурван хүрээнд хуваагдсан байх агаад тэдгээрийг  “хуулийн засаглал” хэмээн нэрийдсээр ирсэн юм.</w:t>
      </w:r>
      <w:r w:rsidRPr="00443D94">
        <w:rPr>
          <w:rStyle w:val="FootnoteReference"/>
          <w:lang w:val="mn-MN"/>
        </w:rPr>
        <w:footnoteReference w:id="12"/>
      </w:r>
      <w:r w:rsidRPr="00443D94">
        <w:rPr>
          <w:lang w:val="mn-MN"/>
        </w:rPr>
        <w:t xml:space="preserve"> </w:t>
      </w:r>
    </w:p>
    <w:p w14:paraId="08725DD9" w14:textId="77777777" w:rsidR="00EE16ED" w:rsidRPr="00443D94" w:rsidRDefault="00EE16ED" w:rsidP="008049E2">
      <w:pPr>
        <w:spacing w:line="240" w:lineRule="auto"/>
        <w:jc w:val="both"/>
        <w:rPr>
          <w:rFonts w:ascii="Times New Roman" w:hAnsi="Times New Roman"/>
          <w:sz w:val="24"/>
          <w:lang w:val="mn-MN"/>
        </w:rPr>
      </w:pPr>
    </w:p>
    <w:p w14:paraId="268712FE" w14:textId="22981999"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Ном зүй</w:t>
      </w:r>
    </w:p>
    <w:p w14:paraId="401AC857" w14:textId="77777777" w:rsidR="00BF4539" w:rsidRPr="00443D94" w:rsidRDefault="00BF4539" w:rsidP="008049E2">
      <w:pPr>
        <w:spacing w:line="240" w:lineRule="auto"/>
        <w:rPr>
          <w:rFonts w:ascii="Times New Roman" w:hAnsi="Times New Roman"/>
          <w:b/>
          <w:sz w:val="24"/>
          <w:lang w:val="mn-MN"/>
        </w:rPr>
      </w:pPr>
    </w:p>
    <w:p w14:paraId="26F066DA"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1.Д.Сүхболд Хоёр танхимтай парламент” УБ., 2024</w:t>
      </w:r>
    </w:p>
    <w:p w14:paraId="6FA68518"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2.Г.Цэнд-Аюуш. XIX- XX зууны улс төрийн сэтгэлгээний хөгжлийн түүхэн тойм.УБ.,2015</w:t>
      </w:r>
    </w:p>
    <w:p w14:paraId="624CE9FF"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3. Г.Цэнд-Аюуш. Өрнийн улс төрийн сэтгэлгээний түүхэн тойм.УБ.,2016</w:t>
      </w:r>
    </w:p>
    <w:p w14:paraId="3BB9B447"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4.ХБНГУ-ын  Үндсэн хууль”  Монгол дахь Конрад Аденауэр сан. УБ.,2019</w:t>
      </w:r>
    </w:p>
    <w:p w14:paraId="5E45DD0F"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5.V Бүгд Найрамдах Франц Улсын Үндсэн хууль”  МУИС. Гадаад Хэл, Соёлын сургууль. Франц хэлнээс орчуулсан Ч.Нарбилэг. УБ.,2005</w:t>
      </w:r>
    </w:p>
    <w:p w14:paraId="393E7D6A"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6. С.Зульфикар “Британий төрийн тогтолцоо”  УБ.,2003</w:t>
      </w:r>
    </w:p>
    <w:p w14:paraId="2D5E13BD"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7. Монгол Улсын Үндсэн хуулийн цэцийн 2022 оны 08 дугаар сарын 15-ны өдөр баталсан 02 тоот тогтоол</w:t>
      </w:r>
    </w:p>
    <w:p w14:paraId="0D281766" w14:textId="55E9216F" w:rsidR="00EE16ED" w:rsidRPr="00443D94" w:rsidRDefault="00EE16ED" w:rsidP="008049E2">
      <w:pPr>
        <w:spacing w:line="240" w:lineRule="auto"/>
        <w:rPr>
          <w:rFonts w:ascii="Times New Roman" w:hAnsi="Times New Roman"/>
          <w:sz w:val="24"/>
          <w:lang w:val="mn-MN"/>
        </w:rPr>
      </w:pPr>
    </w:p>
    <w:p w14:paraId="08482169" w14:textId="098C2ABD" w:rsidR="00181A55" w:rsidRPr="00443D94" w:rsidRDefault="00181A55" w:rsidP="00181A55">
      <w:pPr>
        <w:spacing w:line="240" w:lineRule="auto"/>
        <w:jc w:val="center"/>
        <w:rPr>
          <w:rFonts w:ascii="Times New Roman" w:hAnsi="Times New Roman"/>
          <w:b/>
          <w:bCs/>
          <w:sz w:val="24"/>
          <w:lang w:val="mn-MN"/>
        </w:rPr>
      </w:pPr>
      <w:r w:rsidRPr="00443D94">
        <w:rPr>
          <w:rFonts w:ascii="Times New Roman" w:hAnsi="Times New Roman"/>
          <w:b/>
          <w:bCs/>
          <w:sz w:val="24"/>
          <w:lang w:val="mn-MN"/>
        </w:rPr>
        <w:t>CLASSIFICATION OF PRINCIPLES OF ALLOCATION OF STATE POWERS AND THE SOLUTION OF THE POWERS OF LAW-MAKING AND IMPLEMENTING</w:t>
      </w:r>
    </w:p>
    <w:p w14:paraId="6BB48B12" w14:textId="77777777" w:rsidR="00181A55" w:rsidRPr="00443D94" w:rsidRDefault="00181A55" w:rsidP="008049E2">
      <w:pPr>
        <w:spacing w:line="240" w:lineRule="auto"/>
        <w:rPr>
          <w:rFonts w:ascii="Times New Roman" w:hAnsi="Times New Roman"/>
          <w:sz w:val="24"/>
          <w:lang w:val="mn-MN"/>
        </w:rPr>
      </w:pPr>
    </w:p>
    <w:p w14:paraId="5C07F35E" w14:textId="77777777" w:rsidR="00BF4539" w:rsidRPr="00443D94" w:rsidRDefault="00BF4539" w:rsidP="008049E2">
      <w:pPr>
        <w:spacing w:line="240" w:lineRule="auto"/>
        <w:jc w:val="both"/>
        <w:rPr>
          <w:rFonts w:ascii="Times New Roman" w:hAnsi="Times New Roman"/>
          <w:sz w:val="24"/>
          <w:lang w:val="mn-MN"/>
        </w:rPr>
      </w:pPr>
      <w:r w:rsidRPr="00443D94">
        <w:rPr>
          <w:rFonts w:ascii="Times New Roman" w:hAnsi="Times New Roman"/>
          <w:b/>
          <w:sz w:val="24"/>
          <w:lang w:val="mn-MN"/>
        </w:rPr>
        <w:t>Abstract</w:t>
      </w:r>
      <w:r w:rsidRPr="00443D94">
        <w:rPr>
          <w:rFonts w:ascii="Times New Roman" w:hAnsi="Times New Roman"/>
          <w:sz w:val="24"/>
          <w:lang w:val="mn-MN"/>
        </w:rPr>
        <w:t xml:space="preserve"> </w:t>
      </w:r>
    </w:p>
    <w:p w14:paraId="62734A10" w14:textId="77777777" w:rsidR="00BF4539" w:rsidRPr="00443D94" w:rsidRDefault="00BF4539" w:rsidP="008049E2">
      <w:pPr>
        <w:spacing w:line="240" w:lineRule="auto"/>
        <w:jc w:val="both"/>
        <w:rPr>
          <w:rFonts w:ascii="Times New Roman" w:hAnsi="Times New Roman"/>
          <w:sz w:val="24"/>
          <w:lang w:val="mn-MN"/>
        </w:rPr>
      </w:pPr>
    </w:p>
    <w:p w14:paraId="6956A013" w14:textId="2579B799" w:rsidR="00AB0DBB" w:rsidRPr="00443D94" w:rsidRDefault="00BF4539" w:rsidP="005F14A3">
      <w:pPr>
        <w:spacing w:line="240" w:lineRule="auto"/>
        <w:jc w:val="both"/>
        <w:rPr>
          <w:lang w:val="mn-MN"/>
        </w:rPr>
      </w:pPr>
      <w:r w:rsidRPr="00443D94">
        <w:rPr>
          <w:rFonts w:ascii="Times New Roman" w:hAnsi="Times New Roman"/>
          <w:sz w:val="24"/>
          <w:lang w:val="mn-MN"/>
        </w:rPr>
        <w:t xml:space="preserve">This article examines the classification of the principle of separation of powers, the characteristics and patterns of legislative, executive, and judicial powers, and their checks and balances based on the Constitutions of some foreign countries. This article, which discusses the classification of the principle of separation of powers and their solution in a country like ours with the Westminster model, where the political party that holds the majority in parliament holds the legislative and </w:t>
      </w:r>
    </w:p>
    <w:p w14:paraId="7CF749DB" w14:textId="77777777" w:rsidR="00636C8A" w:rsidRPr="00443D94" w:rsidRDefault="00636C8A" w:rsidP="00636C8A">
      <w:pPr>
        <w:spacing w:line="240" w:lineRule="auto"/>
        <w:jc w:val="both"/>
        <w:rPr>
          <w:rFonts w:ascii="Times New Roman" w:hAnsi="Times New Roman"/>
          <w:sz w:val="24"/>
          <w:lang w:val="mn-MN"/>
        </w:rPr>
      </w:pPr>
      <w:r w:rsidRPr="00443D94">
        <w:rPr>
          <w:rFonts w:ascii="Times New Roman" w:hAnsi="Times New Roman"/>
          <w:sz w:val="24"/>
          <w:lang w:val="mn-MN"/>
        </w:rPr>
        <w:t>executive powers, may be of importance.</w:t>
      </w:r>
    </w:p>
    <w:p w14:paraId="35D941EF" w14:textId="77777777" w:rsidR="00636C8A" w:rsidRPr="00443D94" w:rsidRDefault="00636C8A" w:rsidP="00636C8A">
      <w:pPr>
        <w:spacing w:line="240" w:lineRule="auto"/>
        <w:jc w:val="both"/>
        <w:rPr>
          <w:rFonts w:ascii="Times New Roman" w:hAnsi="Times New Roman"/>
          <w:sz w:val="24"/>
          <w:lang w:val="mn-MN"/>
        </w:rPr>
      </w:pPr>
      <w:r w:rsidRPr="00443D94">
        <w:rPr>
          <w:rFonts w:ascii="Times New Roman" w:hAnsi="Times New Roman"/>
          <w:b/>
          <w:sz w:val="24"/>
          <w:lang w:val="mn-MN"/>
        </w:rPr>
        <w:t>Keywords</w:t>
      </w:r>
      <w:r w:rsidRPr="00443D94">
        <w:rPr>
          <w:rFonts w:ascii="Times New Roman" w:hAnsi="Times New Roman"/>
          <w:sz w:val="24"/>
          <w:lang w:val="mn-MN"/>
        </w:rPr>
        <w:t>: principle of separation of powers, legislative, executive, judiciary, Constitution</w:t>
      </w:r>
    </w:p>
    <w:p w14:paraId="16881B38" w14:textId="77777777" w:rsidR="00AB0DBB" w:rsidRPr="00443D94" w:rsidRDefault="00AB0DBB" w:rsidP="008049E2">
      <w:pPr>
        <w:pStyle w:val="Abstract-Head"/>
        <w:spacing w:before="0" w:after="0" w:line="240" w:lineRule="auto"/>
        <w:rPr>
          <w:rFonts w:ascii="Times New Roman" w:hAnsi="Times New Roman"/>
          <w:b w:val="0"/>
          <w:bCs/>
          <w:sz w:val="24"/>
          <w:szCs w:val="24"/>
          <w:lang w:val="mn-MN"/>
        </w:rPr>
      </w:pPr>
    </w:p>
    <w:sectPr w:rsidR="00AB0DBB" w:rsidRPr="00443D94" w:rsidSect="005F14A3">
      <w:footerReference w:type="default" r:id="rId12"/>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92060" w14:textId="77777777" w:rsidR="00810532" w:rsidRDefault="00810532">
      <w:r>
        <w:separator/>
      </w:r>
    </w:p>
  </w:endnote>
  <w:endnote w:type="continuationSeparator" w:id="0">
    <w:p w14:paraId="3C03D62E" w14:textId="77777777" w:rsidR="00810532" w:rsidRDefault="0081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E8EB" w14:textId="77777777" w:rsidR="00810532" w:rsidRDefault="00810532">
      <w:pPr>
        <w:pStyle w:val="Footer"/>
        <w:tabs>
          <w:tab w:val="clear" w:pos="4320"/>
          <w:tab w:val="left" w:pos="4860"/>
        </w:tabs>
        <w:spacing w:line="200" w:lineRule="exact"/>
        <w:rPr>
          <w:u w:val="single" w:color="000000"/>
        </w:rPr>
      </w:pPr>
      <w:r>
        <w:rPr>
          <w:u w:val="single" w:color="000000"/>
        </w:rPr>
        <w:tab/>
      </w:r>
    </w:p>
  </w:footnote>
  <w:footnote w:type="continuationSeparator" w:id="0">
    <w:p w14:paraId="7BCF86C4" w14:textId="77777777" w:rsidR="00810532" w:rsidRDefault="00810532">
      <w:pPr>
        <w:pStyle w:val="FootnoteText"/>
        <w:rPr>
          <w:szCs w:val="24"/>
        </w:rPr>
      </w:pPr>
      <w:r>
        <w:continuationSeparator/>
      </w:r>
    </w:p>
  </w:footnote>
  <w:footnote w:type="continuationNotice" w:id="1">
    <w:p w14:paraId="273FFA23" w14:textId="77777777" w:rsidR="00810532" w:rsidRDefault="00810532">
      <w:pPr>
        <w:pStyle w:val="Footer"/>
        <w:spacing w:line="14" w:lineRule="exact"/>
      </w:pPr>
    </w:p>
  </w:footnote>
  <w:footnote w:id="2">
    <w:p w14:paraId="25E8408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ru-RU"/>
        </w:rPr>
        <w:t xml:space="preserve"> </w:t>
      </w:r>
      <w:r w:rsidRPr="009D44AA">
        <w:rPr>
          <w:sz w:val="20"/>
          <w:lang w:val="mn-MN"/>
        </w:rPr>
        <w:t>Д.Сүхболд Хоёр танхимтай парламент” 35-36 дахь тал. УБ., 2024</w:t>
      </w:r>
    </w:p>
  </w:footnote>
  <w:footnote w:id="3">
    <w:p w14:paraId="59FFB9B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“ХБНГУ-ын  Үндсэн хууль” 66 дугаар зүйл. Орчуулсан Монгол дахь Конрад Аденауэр сан. УБ.,2019</w:t>
      </w:r>
    </w:p>
  </w:footnote>
  <w:footnote w:id="4">
    <w:p w14:paraId="42841F9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Мөн тэнд 53 дугаар зүйл</w:t>
      </w:r>
    </w:p>
  </w:footnote>
  <w:footnote w:id="5">
    <w:p w14:paraId="61BD68C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V</w:t>
      </w:r>
      <w:r w:rsidRPr="009D44AA">
        <w:rPr>
          <w:sz w:val="20"/>
          <w:lang w:val="mn-MN"/>
        </w:rPr>
        <w:t xml:space="preserve"> Бүгд Найрамдах Франц Улсын Үндсэн хууль”45 дахь тал.  МУИС. Гадаад Хэл, Соёлын сургууль. Франц хэлнээс орчуулсан Ч.Нарбилэг. УБ.,2005</w:t>
      </w:r>
    </w:p>
  </w:footnote>
  <w:footnote w:id="6">
    <w:p w14:paraId="3A68A01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Д.Сүхболд Хоёр танхимтай парламент” 38 дахь тал. УБ., 2024</w:t>
      </w:r>
    </w:p>
  </w:footnote>
  <w:footnote w:id="7">
    <w:p w14:paraId="5AD23C0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Г.Цэнд-Аюуш. Өрнийн улс төрийн сэтгэлгээний  түүхэн тойм /дэд дэвтэр/ УБ., 2016.155 дахь тал</w:t>
      </w:r>
    </w:p>
  </w:footnote>
  <w:footnote w:id="8">
    <w:p w14:paraId="4E553EFE"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Их Британийн дээд шатны шүүх 22 лорд гишүүнээс бүрддэг бөгөөд тэдгээрийг Лордын танхимын дарга буюу Лорд канцлер томилохоос гадна Ерөнхий сайд бас томилдог. (С.Зульфикар “Британий төрийн тогтолцоо” 119 дахь тал. УБ.,2003)</w:t>
      </w:r>
    </w:p>
  </w:footnote>
  <w:footnote w:id="9">
    <w:p w14:paraId="3D58F633" w14:textId="33511FFD"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Д.Сүхболд Хоёр танхимтай парламент” 40 дахь тал. УБ., 2024</w:t>
      </w:r>
    </w:p>
  </w:footnote>
  <w:footnote w:id="10">
    <w:p w14:paraId="18E9CF42" w14:textId="0321DBAF"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Монгол Улсын Үндсэн хуулийн цэцийн 2022 оны 08 дугаар сарын 15-ны өдөр баталсан 02 тоот тогтоолыг харна уу</w:t>
      </w:r>
    </w:p>
  </w:footnote>
  <w:footnote w:id="11">
    <w:p w14:paraId="5CC0CA7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Мөн тэнд</w:t>
      </w:r>
    </w:p>
  </w:footnote>
  <w:footnote w:id="12">
    <w:p w14:paraId="6B2395CF"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5F14A3">
        <w:rPr>
          <w:sz w:val="20"/>
          <w:lang w:val="mn-MN"/>
        </w:rPr>
        <w:t xml:space="preserve"> </w:t>
      </w:r>
      <w:r w:rsidRPr="009D44AA">
        <w:rPr>
          <w:sz w:val="20"/>
          <w:lang w:val="mn-MN"/>
        </w:rPr>
        <w:t>Г.Цэнд-Аюуш. Х</w:t>
      </w:r>
      <w:r w:rsidRPr="005F14A3">
        <w:rPr>
          <w:sz w:val="20"/>
          <w:lang w:val="mn-MN"/>
        </w:rPr>
        <w:t>I</w:t>
      </w:r>
      <w:r w:rsidRPr="009D44AA">
        <w:rPr>
          <w:sz w:val="20"/>
          <w:lang w:val="mn-MN"/>
        </w:rPr>
        <w:t>Х-ХХ зууны улс төрийн сэтгэлгээний түүхэн тойм /тэргүүн дэвтэр/УБ.,2015,107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254D"/>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14A3"/>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6C8A"/>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17284"/>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532"/>
    <w:rsid w:val="00810B1D"/>
    <w:rsid w:val="00817E04"/>
    <w:rsid w:val="00820FD1"/>
    <w:rsid w:val="008224FB"/>
    <w:rsid w:val="008256D4"/>
    <w:rsid w:val="00830C44"/>
    <w:rsid w:val="00835801"/>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12</TotalTime>
  <Pages>6</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4</cp:revision>
  <cp:lastPrinted>2025-05-14T10:04:00Z</cp:lastPrinted>
  <dcterms:created xsi:type="dcterms:W3CDTF">2026-04-18T15:04:00Z</dcterms:created>
  <dcterms:modified xsi:type="dcterms:W3CDTF">2026-05-02T14:33:00Z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