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826B" w14:textId="77777777" w:rsidR="001A698F" w:rsidRPr="00443D94" w:rsidRDefault="001A698F" w:rsidP="001A698F">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135FFEF7" w14:textId="57BC59D1" w:rsidR="001A698F" w:rsidRPr="00443D94" w:rsidRDefault="001A698F" w:rsidP="001A698F">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07660E"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15</w:t>
      </w:r>
      <w:r w:rsidR="00765261" w:rsidRPr="00443D94">
        <w:rPr>
          <w:rFonts w:ascii="Times New Roman" w:hAnsi="Times New Roman"/>
          <w:b w:val="0"/>
          <w:bCs/>
          <w:sz w:val="24"/>
          <w:szCs w:val="24"/>
          <w:lang w:val="mn-MN"/>
        </w:rPr>
        <w:t>4</w:t>
      </w:r>
      <w:r w:rsidRPr="00443D94">
        <w:rPr>
          <w:rFonts w:ascii="Times New Roman" w:hAnsi="Times New Roman"/>
          <w:b w:val="0"/>
          <w:bCs/>
          <w:sz w:val="24"/>
          <w:szCs w:val="24"/>
          <w:lang w:val="mn-MN"/>
        </w:rPr>
        <w:t>-</w:t>
      </w:r>
      <w:r w:rsidR="00765261" w:rsidRPr="00443D94">
        <w:rPr>
          <w:rFonts w:ascii="Times New Roman" w:hAnsi="Times New Roman"/>
          <w:b w:val="0"/>
          <w:bCs/>
          <w:sz w:val="24"/>
          <w:szCs w:val="24"/>
          <w:lang w:val="mn-MN"/>
        </w:rPr>
        <w:t>159</w:t>
      </w:r>
      <w:r w:rsidRPr="00443D94">
        <w:rPr>
          <w:rFonts w:ascii="Times New Roman" w:hAnsi="Times New Roman"/>
          <w:b w:val="0"/>
          <w:bCs/>
          <w:sz w:val="24"/>
          <w:szCs w:val="24"/>
          <w:lang w:val="mn-MN"/>
        </w:rPr>
        <w:t xml:space="preserve"> д</w:t>
      </w:r>
      <w:r w:rsidR="00765261" w:rsidRPr="00443D94">
        <w:rPr>
          <w:rFonts w:ascii="Times New Roman" w:hAnsi="Times New Roman"/>
          <w:b w:val="0"/>
          <w:bCs/>
          <w:sz w:val="24"/>
          <w:szCs w:val="24"/>
          <w:lang w:val="mn-MN"/>
        </w:rPr>
        <w:t>эх</w:t>
      </w:r>
      <w:r w:rsidRPr="00443D94">
        <w:rPr>
          <w:rFonts w:ascii="Times New Roman" w:hAnsi="Times New Roman"/>
          <w:b w:val="0"/>
          <w:bCs/>
          <w:sz w:val="24"/>
          <w:szCs w:val="24"/>
          <w:lang w:val="mn-MN"/>
        </w:rPr>
        <w:t xml:space="preserve"> тал</w:t>
      </w:r>
    </w:p>
    <w:p w14:paraId="0F250CCB" w14:textId="77777777" w:rsidR="001A698F" w:rsidRPr="00443D94" w:rsidRDefault="001A698F" w:rsidP="008049E2">
      <w:pPr>
        <w:spacing w:line="240" w:lineRule="auto"/>
        <w:jc w:val="center"/>
        <w:rPr>
          <w:rFonts w:ascii="Times New Roman" w:hAnsi="Times New Roman"/>
          <w:b/>
          <w:bCs/>
          <w:sz w:val="24"/>
          <w:lang w:val="mn-MN"/>
        </w:rPr>
      </w:pPr>
    </w:p>
    <w:p w14:paraId="78153F2D" w14:textId="77777777" w:rsidR="001A698F" w:rsidRPr="00443D94" w:rsidRDefault="001A698F" w:rsidP="008049E2">
      <w:pPr>
        <w:spacing w:line="240" w:lineRule="auto"/>
        <w:jc w:val="center"/>
        <w:rPr>
          <w:rFonts w:ascii="Times New Roman" w:hAnsi="Times New Roman"/>
          <w:b/>
          <w:bCs/>
          <w:sz w:val="24"/>
          <w:lang w:val="mn-MN"/>
        </w:rPr>
      </w:pPr>
    </w:p>
    <w:p w14:paraId="4E26EF29" w14:textId="71F9970F" w:rsidR="00EE16ED" w:rsidRPr="00443D94" w:rsidRDefault="00EE16ED"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ЗАСГИЙН ГАЗРЫН ГҮЙЦЭТГЭЛИЙГ ҮНЭЛЭХ АСУУДАЛД</w:t>
      </w:r>
    </w:p>
    <w:p w14:paraId="46B1E8D0" w14:textId="76963075" w:rsidR="00EE16ED" w:rsidRPr="00443D94" w:rsidRDefault="00EE16ED" w:rsidP="008049E2">
      <w:pPr>
        <w:spacing w:line="240" w:lineRule="auto"/>
        <w:jc w:val="center"/>
        <w:rPr>
          <w:rFonts w:ascii="Times New Roman" w:hAnsi="Times New Roman"/>
          <w:b/>
          <w:bCs/>
          <w:sz w:val="24"/>
          <w:lang w:val="mn-MN"/>
        </w:rPr>
      </w:pPr>
    </w:p>
    <w:p w14:paraId="7ACDE931" w14:textId="77777777" w:rsidR="00B81E3E" w:rsidRPr="00443D94" w:rsidRDefault="00B81E3E" w:rsidP="008049E2">
      <w:pPr>
        <w:spacing w:line="240" w:lineRule="auto"/>
        <w:jc w:val="center"/>
        <w:rPr>
          <w:rFonts w:ascii="Times New Roman" w:hAnsi="Times New Roman"/>
          <w:b/>
          <w:bCs/>
          <w:sz w:val="24"/>
          <w:lang w:val="mn-MN"/>
        </w:rPr>
      </w:pPr>
    </w:p>
    <w:p w14:paraId="323D4323" w14:textId="1E349CC9" w:rsidR="00EE16ED" w:rsidRPr="00443D94" w:rsidRDefault="00EE16ED" w:rsidP="00A91F39">
      <w:pPr>
        <w:spacing w:line="240" w:lineRule="auto"/>
        <w:jc w:val="center"/>
        <w:rPr>
          <w:rFonts w:ascii="Times New Roman" w:hAnsi="Times New Roman"/>
          <w:b/>
          <w:bCs/>
          <w:sz w:val="24"/>
          <w:lang w:val="mn-MN"/>
        </w:rPr>
      </w:pPr>
      <w:r w:rsidRPr="00443D94">
        <w:rPr>
          <w:rFonts w:ascii="Times New Roman" w:hAnsi="Times New Roman"/>
          <w:b/>
          <w:bCs/>
          <w:sz w:val="24"/>
          <w:lang w:val="mn-MN"/>
        </w:rPr>
        <w:t>Г.Золзаяа</w:t>
      </w:r>
    </w:p>
    <w:p w14:paraId="73456BCE" w14:textId="6232509A" w:rsidR="00EE16ED" w:rsidRPr="00443D94" w:rsidRDefault="00EE16ED" w:rsidP="00A91F39">
      <w:pPr>
        <w:spacing w:line="240" w:lineRule="auto"/>
        <w:jc w:val="center"/>
        <w:rPr>
          <w:rFonts w:ascii="Times New Roman" w:hAnsi="Times New Roman"/>
          <w:sz w:val="24"/>
          <w:lang w:val="mn-MN"/>
        </w:rPr>
      </w:pPr>
      <w:r w:rsidRPr="00443D94">
        <w:rPr>
          <w:rFonts w:ascii="Times New Roman" w:hAnsi="Times New Roman"/>
          <w:sz w:val="24"/>
          <w:lang w:val="mn-MN"/>
        </w:rPr>
        <w:t xml:space="preserve">МУИС-ийн </w:t>
      </w:r>
      <w:r w:rsidR="00343E98" w:rsidRPr="00443D94">
        <w:rPr>
          <w:rFonts w:ascii="Times New Roman" w:hAnsi="Times New Roman"/>
          <w:sz w:val="24"/>
          <w:lang w:val="mn-MN"/>
        </w:rPr>
        <w:t xml:space="preserve">УТСОУХНУС, </w:t>
      </w:r>
      <w:r w:rsidRPr="00443D94">
        <w:rPr>
          <w:rFonts w:ascii="Times New Roman" w:hAnsi="Times New Roman"/>
          <w:sz w:val="24"/>
          <w:lang w:val="mn-MN"/>
        </w:rPr>
        <w:t>Улс төр судлалын тэнхимийн докторант</w:t>
      </w:r>
    </w:p>
    <w:p w14:paraId="4945B2B9" w14:textId="0E347DD5" w:rsidR="00EE16ED" w:rsidRPr="00443D94" w:rsidRDefault="00EE16ED" w:rsidP="00A91F39">
      <w:pPr>
        <w:spacing w:line="240" w:lineRule="auto"/>
        <w:jc w:val="center"/>
        <w:rPr>
          <w:rFonts w:ascii="Times New Roman" w:hAnsi="Times New Roman"/>
          <w:sz w:val="24"/>
          <w:lang w:val="mn-MN"/>
        </w:rPr>
      </w:pPr>
      <w:r w:rsidRPr="00443D94">
        <w:rPr>
          <w:rFonts w:ascii="Times New Roman" w:hAnsi="Times New Roman"/>
          <w:sz w:val="24"/>
          <w:lang w:val="mn-MN"/>
        </w:rPr>
        <w:t xml:space="preserve">Отгонтэнгэр </w:t>
      </w:r>
      <w:r w:rsidR="00A91F39" w:rsidRPr="00443D94">
        <w:rPr>
          <w:rFonts w:ascii="Times New Roman" w:hAnsi="Times New Roman"/>
          <w:sz w:val="24"/>
          <w:lang w:val="mn-MN"/>
        </w:rPr>
        <w:t>И</w:t>
      </w:r>
      <w:r w:rsidRPr="00443D94">
        <w:rPr>
          <w:rFonts w:ascii="Times New Roman" w:hAnsi="Times New Roman"/>
          <w:sz w:val="24"/>
          <w:lang w:val="mn-MN"/>
        </w:rPr>
        <w:t xml:space="preserve">х </w:t>
      </w:r>
      <w:r w:rsidR="00A91F39" w:rsidRPr="00443D94">
        <w:rPr>
          <w:rFonts w:ascii="Times New Roman" w:hAnsi="Times New Roman"/>
          <w:sz w:val="24"/>
          <w:lang w:val="mn-MN"/>
        </w:rPr>
        <w:t>С</w:t>
      </w:r>
      <w:r w:rsidRPr="00443D94">
        <w:rPr>
          <w:rFonts w:ascii="Times New Roman" w:hAnsi="Times New Roman"/>
          <w:sz w:val="24"/>
          <w:lang w:val="mn-MN"/>
        </w:rPr>
        <w:t>ургуулийн Олон улсын харилцааны тэнхимийн эрхлэгч</w:t>
      </w:r>
    </w:p>
    <w:p w14:paraId="11E64AD6" w14:textId="6137A53E" w:rsidR="00EE16ED" w:rsidRPr="00443D94" w:rsidRDefault="00EE16ED" w:rsidP="008049E2">
      <w:pPr>
        <w:spacing w:line="240" w:lineRule="auto"/>
        <w:jc w:val="both"/>
        <w:rPr>
          <w:rFonts w:ascii="Times New Roman" w:hAnsi="Times New Roman"/>
          <w:i/>
          <w:iCs/>
          <w:sz w:val="24"/>
          <w:lang w:val="mn-MN"/>
        </w:rPr>
      </w:pPr>
    </w:p>
    <w:p w14:paraId="41D3ED61" w14:textId="77777777" w:rsidR="00CE2E99" w:rsidRPr="00443D94" w:rsidRDefault="00CE2E99" w:rsidP="00CE2E99">
      <w:pPr>
        <w:spacing w:line="240" w:lineRule="auto"/>
        <w:jc w:val="center"/>
        <w:rPr>
          <w:rFonts w:ascii="Times New Roman" w:hAnsi="Times New Roman"/>
          <w:b/>
          <w:bCs/>
          <w:sz w:val="24"/>
          <w:lang w:val="mn-MN"/>
        </w:rPr>
      </w:pPr>
      <w:r w:rsidRPr="00443D94">
        <w:rPr>
          <w:rFonts w:ascii="Times New Roman" w:hAnsi="Times New Roman"/>
          <w:b/>
          <w:bCs/>
          <w:sz w:val="24"/>
          <w:lang w:val="mn-MN"/>
        </w:rPr>
        <w:t>Б.Одгэрэл</w:t>
      </w:r>
    </w:p>
    <w:p w14:paraId="2ECB2194" w14:textId="7A466811" w:rsidR="00CE2E99" w:rsidRPr="00443D94" w:rsidRDefault="00CE2E99" w:rsidP="00CE2E99">
      <w:pPr>
        <w:spacing w:line="240" w:lineRule="auto"/>
        <w:jc w:val="both"/>
        <w:rPr>
          <w:rFonts w:ascii="Times New Roman" w:hAnsi="Times New Roman"/>
          <w:i/>
          <w:iCs/>
          <w:sz w:val="24"/>
          <w:lang w:val="mn-MN"/>
        </w:rPr>
      </w:pPr>
      <w:r w:rsidRPr="00443D94">
        <w:rPr>
          <w:rFonts w:ascii="Times New Roman" w:hAnsi="Times New Roman"/>
          <w:sz w:val="24"/>
          <w:lang w:val="mn-MN"/>
        </w:rPr>
        <w:t>Отгонтэнгэр Их Сургуулийн сургалт, эрдэм шинжилгээ эрхэлсэн проректор, дэд профессор</w:t>
      </w:r>
    </w:p>
    <w:p w14:paraId="3F45D4B2" w14:textId="7A135F77" w:rsidR="00B81E3E" w:rsidRPr="00443D94" w:rsidRDefault="00B81E3E" w:rsidP="008049E2">
      <w:pPr>
        <w:spacing w:line="240" w:lineRule="auto"/>
        <w:jc w:val="both"/>
        <w:rPr>
          <w:rFonts w:ascii="Times New Roman" w:hAnsi="Times New Roman"/>
          <w:i/>
          <w:iCs/>
          <w:sz w:val="24"/>
          <w:lang w:val="mn-MN"/>
        </w:rPr>
      </w:pPr>
    </w:p>
    <w:p w14:paraId="54424BD8" w14:textId="77777777" w:rsidR="00CE2E99" w:rsidRPr="00443D94" w:rsidRDefault="00CE2E99" w:rsidP="008049E2">
      <w:pPr>
        <w:spacing w:line="240" w:lineRule="auto"/>
        <w:jc w:val="both"/>
        <w:rPr>
          <w:rFonts w:ascii="Times New Roman" w:hAnsi="Times New Roman"/>
          <w:i/>
          <w:iCs/>
          <w:sz w:val="24"/>
          <w:lang w:val="mn-MN"/>
        </w:rPr>
      </w:pPr>
    </w:p>
    <w:p w14:paraId="4AD1AF3C" w14:textId="49525737"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Хураангуй</w:t>
      </w:r>
    </w:p>
    <w:p w14:paraId="3CE571FA" w14:textId="77777777" w:rsidR="00B81E3E" w:rsidRPr="00443D94" w:rsidRDefault="00B81E3E" w:rsidP="008049E2">
      <w:pPr>
        <w:pStyle w:val="NormalWeb"/>
        <w:spacing w:line="240" w:lineRule="auto"/>
        <w:jc w:val="both"/>
        <w:rPr>
          <w:color w:val="000000"/>
          <w:lang w:val="mn-MN"/>
        </w:rPr>
      </w:pPr>
    </w:p>
    <w:p w14:paraId="693C732D" w14:textId="74FD8508" w:rsidR="00EE16ED" w:rsidRPr="00443D94" w:rsidRDefault="00EE16ED" w:rsidP="008049E2">
      <w:pPr>
        <w:pStyle w:val="NormalWeb"/>
        <w:spacing w:line="240" w:lineRule="auto"/>
        <w:jc w:val="both"/>
        <w:rPr>
          <w:color w:val="000000"/>
          <w:lang w:val="mn-MN"/>
        </w:rPr>
      </w:pPr>
      <w:r w:rsidRPr="00443D94">
        <w:rPr>
          <w:color w:val="000000"/>
          <w:lang w:val="mn-MN"/>
        </w:rPr>
        <w:t>Засгийн газрын үйл ажиллагааг үнэлэх нь улс орны хөгжлийн өнөөгийн байдлыг бодитоор тодорхойлох чухал үзүүлэлт юм. Улс орнууд засгийн газрынхаа үйл ажиллагааны гүйцэтгэлийг янз бүрээр үнэлдэг. Дэлхийн банк, НҮБ, Транспэрэнси Интернэшнл зэрэг байгууллагууд авлига, хүний эрх, өрсөлдөх чадвар зэрэг асуудлаар улс орнуудыг үнэлдэг.   Улс орнуудын үнэлгээний систем харилцан адилгүй боловч төсвийн зарцуулалт, бодлогын хэрэгжилт, дэд бүтэц, эдийн засгийн хөгжил, ардчилал, хүний эрхийн бэхжилт, ил тод нээлттэй байдал, иргэдийн сэтгэл ханамж зэрэг үзүүлэлтүүдийг ашиглах нь түгээмэл байна. Иймд манай улс дээрх нийтлэг шалгууруудыг ашиглан засгийн газрын гүйцэтгэлийг үнэлэх нь төрийн үйл ажиллагааг үр дүнтэй болгох, сонгогчид үнэлгээ өгөхөд дэмжлэг болох зэрэг олон талын ач холбогдолтой юм.</w:t>
      </w:r>
    </w:p>
    <w:p w14:paraId="591548F8" w14:textId="77777777" w:rsidR="00B81E3E" w:rsidRPr="00443D94" w:rsidRDefault="00B81E3E" w:rsidP="008049E2">
      <w:pPr>
        <w:pStyle w:val="NormalWeb"/>
        <w:spacing w:line="240" w:lineRule="auto"/>
        <w:jc w:val="both"/>
        <w:rPr>
          <w:rStyle w:val="Strong"/>
          <w:i/>
          <w:iCs/>
          <w:color w:val="000000"/>
          <w:lang w:val="mn-MN"/>
        </w:rPr>
      </w:pPr>
    </w:p>
    <w:p w14:paraId="4F1B7225" w14:textId="76E8B92F" w:rsidR="00EE16ED" w:rsidRPr="00443D94" w:rsidRDefault="00EE16ED" w:rsidP="008049E2">
      <w:pPr>
        <w:pStyle w:val="NormalWeb"/>
        <w:spacing w:line="240" w:lineRule="auto"/>
        <w:jc w:val="both"/>
        <w:rPr>
          <w:color w:val="000000"/>
          <w:lang w:val="mn-MN"/>
        </w:rPr>
      </w:pPr>
      <w:r w:rsidRPr="00443D94">
        <w:rPr>
          <w:rStyle w:val="Strong"/>
          <w:color w:val="000000"/>
          <w:lang w:val="mn-MN"/>
        </w:rPr>
        <w:t>Түлхүүр үгс:</w:t>
      </w:r>
      <w:r w:rsidRPr="00443D94">
        <w:rPr>
          <w:rStyle w:val="apple-converted-space"/>
          <w:color w:val="000000"/>
          <w:lang w:val="mn-MN"/>
        </w:rPr>
        <w:t> </w:t>
      </w:r>
      <w:r w:rsidRPr="00443D94">
        <w:rPr>
          <w:color w:val="000000"/>
          <w:lang w:val="mn-MN"/>
        </w:rPr>
        <w:t>Засгийн газрын үйл ажиллагаа, Үнэлгээ, Хариуцлагатай засаглал, Үр нөлөө, Ардчилал</w:t>
      </w:r>
    </w:p>
    <w:p w14:paraId="753606C3" w14:textId="77777777" w:rsidR="00B81E3E" w:rsidRPr="00443D94" w:rsidRDefault="00B81E3E" w:rsidP="008049E2">
      <w:pPr>
        <w:spacing w:line="240" w:lineRule="auto"/>
        <w:jc w:val="both"/>
        <w:rPr>
          <w:rFonts w:ascii="Times New Roman" w:hAnsi="Times New Roman"/>
          <w:b/>
          <w:bCs/>
          <w:sz w:val="24"/>
          <w:lang w:val="mn-MN"/>
        </w:rPr>
      </w:pPr>
    </w:p>
    <w:p w14:paraId="6AF6C563" w14:textId="5B054BB3"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Оршил</w:t>
      </w:r>
    </w:p>
    <w:p w14:paraId="21AE2301" w14:textId="77777777" w:rsidR="00B81E3E" w:rsidRPr="00443D94" w:rsidRDefault="00B81E3E" w:rsidP="008049E2">
      <w:pPr>
        <w:pStyle w:val="NormalWeb"/>
        <w:spacing w:line="240" w:lineRule="auto"/>
        <w:jc w:val="both"/>
        <w:rPr>
          <w:color w:val="000000"/>
          <w:lang w:val="mn-MN"/>
        </w:rPr>
      </w:pPr>
    </w:p>
    <w:p w14:paraId="17FF5FE7" w14:textId="34AE66E5" w:rsidR="00EE16ED" w:rsidRPr="00443D94" w:rsidRDefault="00EE16ED" w:rsidP="008049E2">
      <w:pPr>
        <w:pStyle w:val="NormalWeb"/>
        <w:spacing w:line="240" w:lineRule="auto"/>
        <w:jc w:val="both"/>
        <w:rPr>
          <w:color w:val="000000"/>
          <w:lang w:val="mn-MN"/>
        </w:rPr>
      </w:pPr>
      <w:r w:rsidRPr="00443D94">
        <w:rPr>
          <w:color w:val="000000"/>
          <w:lang w:val="mn-MN"/>
        </w:rPr>
        <w:t>Засгийн газрын үйл ажиллагааг үнэлэх нь улс орны хөгжлийн түвшин, ардчиллын төлөвшил, эдийн засгийн тогтвортой байдал зэргийг тодорхойлоход чухал үүрэг гүйцэтгэдэг. Улс төр, эдийн засаг, нийгмийн хөгжлийн олон үзүүлэлт нь засгийн газрын гүйцэтгэлийн чанартай шууд холбоотой байдаг. Түүнчлэн улс орон бүрийн улс төрийн тогтолцоо, засаглалын онцлог, эдийн засгийн бүтэц зэргээс хамаарч засаглалын чанар, засгийн газрын гүйцэтгэлийг үнэлэх шалгуур ялгаатай байна.</w:t>
      </w:r>
    </w:p>
    <w:p w14:paraId="3B0EDAFD"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color w:val="000000"/>
          <w:sz w:val="24"/>
          <w:lang w:val="mn-MN"/>
        </w:rPr>
        <w:t xml:space="preserve">Дэлхий даяар олон улсын байгууллагууд болон судалгааны хүрээлэнгүүд засаглалын чанар, засгийн газрын үйл ажиллагааны үр дүнг үнэлэх арга зүйг боловсруулсан байдаг. Гэвч засаглал, засгийн газрын гүйцэтгэлийн үнэлгээг хоёр түвшинд авч үзэж болохуйц байна. Нэн түрүүнд, үндэстэн дамнасан засаглалын чанар, төрийн үйл ажиллагааны үр нөлөө, засгийн газрын гүйцэтгэлийг үнэлэх үнэлгээнүүд байна. Үүнд: Дэлхийн Банкны "Засаглалын Индекс", НҮБ-ын "Хөгжлийн Засаглалын Үзүүлэлтүүд", </w:t>
      </w:r>
      <w:r w:rsidRPr="00443D94">
        <w:rPr>
          <w:rFonts w:ascii="Times New Roman" w:hAnsi="Times New Roman"/>
          <w:sz w:val="24"/>
          <w:lang w:val="mn-MN"/>
        </w:rPr>
        <w:t xml:space="preserve">Дэлхийн банкнаас гаргадаг Засгийн газрын үр нөлөөний индекс, Фрийдомхаус (Freedom House) байгууллагаас Ардчилал, хүний эрхийн төлөв байдал, Транспэрэнси Интернэшнл байгууллагаас гаргадаг Авлигын түвшингийн тайлан, НҮБ-Хөгжлийн хөтөлбөрөөс гаргадаг Хүний хөгжлийн үзүүлэлтийг хэмжиж, засгийн газрын бодлогын үр дүнг дүгнэдэг. Дээрх индекс, тайлангууд нь ихэвчлэн тодорхой нэг асуудал буюу засаглал, авлига, хүний хөгжил, эрх чөлөө зэрэг асуудлууд дээр төвлөрч, шалгуур үзүүлэлтийг боловсруулж, үнэлгээ өгдөг байна. Жишээ нь Дэлхийн банкнаас гаргадаг Засгийн газрын үр нөлөөний индекс нь төрийн үйлчилгээний </w:t>
      </w:r>
      <w:r w:rsidRPr="00443D94">
        <w:rPr>
          <w:rFonts w:ascii="Times New Roman" w:hAnsi="Times New Roman"/>
          <w:sz w:val="24"/>
          <w:lang w:val="mn-MN"/>
        </w:rPr>
        <w:lastRenderedPageBreak/>
        <w:t xml:space="preserve">чанар, төрийн албаны мэргэжлийн түвшин, улс төрийн шахалтаас ангид байх чадвар, бодлого боловсруулах болон хэрэгжүүлэх чанар, мөн тэдгээр бодлогод засгийн газрын итгэлтэй байдал зэрэг үзүүлэлтүүдийг харгалзаж авч үзэж, -2.5-аас +2.5 хүртэл оноогоор үнэлгээ өгдөг. </w:t>
      </w:r>
      <w:r w:rsidRPr="00443D94">
        <w:rPr>
          <w:rFonts w:ascii="Times New Roman" w:hAnsi="Times New Roman"/>
          <w:color w:val="000000"/>
          <w:sz w:val="24"/>
          <w:lang w:val="mn-MN"/>
        </w:rPr>
        <w:t>Мөн Дэлхийн эдийн засгийн форумаас гаргадаг Улс орны өрсөлдөх чадварын индекс (Global Competitiveness Index, GCI) үзүүлэлт нь макро эдийн засгийн тогтвортой байдал, дэд бүтэц, боловсрол, эрүүл мэнд, хөдөлмөрийн зах зээл зэрэг олон үзүүлэлт дээр тулгуурлан улс орнуудын өрсөлдөх чадварыг тодорхойлдог. Гэвч эдгээр үнэлгээний аргачлал нь улс орны дотоод нөхцөл байдал, соёл, улс төрийн түүхийг бүрэн харгалзан үзэж чаддаггүй гэх шүүмжлэл гардаг.</w:t>
      </w:r>
    </w:p>
    <w:p w14:paraId="43F3ECF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color w:val="000000"/>
          <w:sz w:val="24"/>
          <w:lang w:val="mn-MN"/>
        </w:rPr>
        <w:t xml:space="preserve">Монгол Улсын хувьд засгийн газрын үйл ажиллагаа, гүйцэтгэлийн үнэлэх нэгдсэн үнэлгээний аргачлал хараахан боловсруулаагүй байна. </w:t>
      </w:r>
      <w:r w:rsidRPr="00443D94">
        <w:rPr>
          <w:rFonts w:ascii="Times New Roman" w:hAnsi="Times New Roman"/>
          <w:sz w:val="24"/>
          <w:lang w:val="mn-MN"/>
        </w:rPr>
        <w:t>Одоогоор Үндэсний Аудитын газраас тогтоосон Засгийн газрын үйл ажиллагааны үнэлгээ аргачлалыг Засгийн газрын бодлогын хэрэгжилт, санхүүгийн хяналт, төсвийн зарцуулалт, Авлигын хяналт, Иргэдийн үнэлгээ зэрэг үзүүлэлтээр хийдэг. Гэвч энэ нь төлөвлөсөн бодлого, хөтөлбөр, үйл ажиллагааг тоон гүйцэтгэлээр үнэлэх хандлага давамгайлдаг байна.</w:t>
      </w:r>
    </w:p>
    <w:p w14:paraId="77D4A04C" w14:textId="77777777" w:rsidR="00B81E3E" w:rsidRPr="00443D94" w:rsidRDefault="00B81E3E" w:rsidP="008049E2">
      <w:pPr>
        <w:spacing w:line="240" w:lineRule="auto"/>
        <w:jc w:val="both"/>
        <w:rPr>
          <w:rFonts w:ascii="Times New Roman" w:hAnsi="Times New Roman"/>
          <w:b/>
          <w:bCs/>
          <w:sz w:val="24"/>
          <w:lang w:val="mn-MN"/>
        </w:rPr>
      </w:pPr>
    </w:p>
    <w:p w14:paraId="7FD7478D" w14:textId="30819F9A"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Үр дүн</w:t>
      </w:r>
    </w:p>
    <w:p w14:paraId="00CBBFE6" w14:textId="77777777" w:rsidR="00B81E3E" w:rsidRPr="00443D94" w:rsidRDefault="00B81E3E" w:rsidP="008049E2">
      <w:pPr>
        <w:spacing w:line="240" w:lineRule="auto"/>
        <w:jc w:val="both"/>
        <w:rPr>
          <w:rFonts w:ascii="Times New Roman" w:hAnsi="Times New Roman"/>
          <w:sz w:val="24"/>
          <w:lang w:val="mn-MN"/>
        </w:rPr>
      </w:pPr>
    </w:p>
    <w:p w14:paraId="00E0DB6C" w14:textId="33167D25"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Засгийн газрын үйл ажиллагаа, гүйцэтгэлийг үнэлэх асуудал улс төрийн шинжлэх ухаанд өргөн хүрээнд судлагдаж ирсэн. Энэ талаар эртний болон дундад зууны үеийн сэтгэгчдээс эхлээд орчин үеийн сэтгэгчид, онолууд хүртэл олон янзаар тайлбарлаж ирсэн. Италийн сэтгэгч Макиавелли “Хунтайж” бүтээлдээ төрийн удирдагчийн хүч чадал, бодлогын үр дүн, тогтвортой байдал зэрэг хүчин зүйлсийг төрийн гүйцэтгэлийн гол хэмжүүр гэж үзэж байв.</w:t>
      </w:r>
      <w:sdt>
        <w:sdtPr>
          <w:rPr>
            <w:rFonts w:ascii="Times New Roman" w:hAnsi="Times New Roman"/>
            <w:sz w:val="24"/>
            <w:lang w:val="mn-MN"/>
          </w:rPr>
          <w:id w:val="-1633010865"/>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Mac32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(Machiavelli, 1532)</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Томас Гоббс төрийн үр нөлөөтэй байдал нь хууль тогтоомжийн хэрэгжилт, аюулгүй байдал хангах, дотоод эмх цэгцийг бий болгох чадвараар хэмжигдэнэ хэмээн Левафиан бүтээлдээ дурдсан байдаг.</w:t>
      </w:r>
      <w:sdt>
        <w:sdtPr>
          <w:rPr>
            <w:rFonts w:ascii="Times New Roman" w:hAnsi="Times New Roman"/>
            <w:sz w:val="24"/>
            <w:lang w:val="mn-MN"/>
          </w:rPr>
          <w:id w:val="1045024156"/>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Tho51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(Hobbes, 1651)</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w:t>
      </w:r>
    </w:p>
    <w:p w14:paraId="4D4E60A0"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Зарим судлаачид засгийн газрын үр ашиг, гүйцэтгэлийг хянах гол механизм нь ил тод байдал, иргэдийн оролцоо гэж дүгнэжээ.</w:t>
      </w:r>
      <w:sdt>
        <w:sdtPr>
          <w:rPr>
            <w:rFonts w:ascii="Times New Roman" w:hAnsi="Times New Roman"/>
            <w:sz w:val="24"/>
            <w:lang w:val="mn-MN"/>
          </w:rPr>
          <w:id w:val="-847789166"/>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MBo07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(M, 2007)</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Ил тод байдлын асуудал нь засгийн газрын үйл ажиллагааг үнэлэх индекс, тайлангийн нэг чухал үзүүлэлт байна. Засгийн газрын үр ашиг, гүйцэтгэлийг хэмжих хэд хэдэн судалгаа, үйл ажиллагаанууд хэрэгжиж байсан. Тухайлбал, Засгийн газрын үр ашгийг үнэлэх хамгийн нарийвчилсан үнэлгээнүүдийн нэг болох “Засгийн газрын гүйцэтгэлийн төсөл (Government Performance Project)” нь АНУ-ын орон нутгийн болон муж улсын засгийн газар, холбооны агентлагуудын удирдлагын чадавхыг үнэлэх үйл явцыг боловсруулсан. Уг төсөл нь доорх 5 шалгуураар үнэлдэг. Үүнд: </w:t>
      </w:r>
    </w:p>
    <w:p w14:paraId="52DDC247" w14:textId="77777777" w:rsidR="00EE16ED" w:rsidRPr="00443D94" w:rsidRDefault="00EE16ED" w:rsidP="008049E2">
      <w:pPr>
        <w:pStyle w:val="ListParagraph"/>
        <w:numPr>
          <w:ilvl w:val="0"/>
          <w:numId w:val="3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Санхүүгийн менежмент</w:t>
      </w:r>
    </w:p>
    <w:p w14:paraId="2072EF2B" w14:textId="77777777" w:rsidR="00EE16ED" w:rsidRPr="00443D94" w:rsidRDefault="00EE16ED" w:rsidP="008049E2">
      <w:pPr>
        <w:pStyle w:val="ListParagraph"/>
        <w:numPr>
          <w:ilvl w:val="0"/>
          <w:numId w:val="3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Хүний нөөцийн менежмент</w:t>
      </w:r>
    </w:p>
    <w:p w14:paraId="744E0222" w14:textId="77777777" w:rsidR="00EE16ED" w:rsidRPr="00443D94" w:rsidRDefault="00EE16ED" w:rsidP="008049E2">
      <w:pPr>
        <w:pStyle w:val="ListParagraph"/>
        <w:numPr>
          <w:ilvl w:val="0"/>
          <w:numId w:val="3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Капитал менежмент</w:t>
      </w:r>
    </w:p>
    <w:p w14:paraId="6FB4D76C" w14:textId="77777777" w:rsidR="00EE16ED" w:rsidRPr="00443D94" w:rsidRDefault="00EE16ED" w:rsidP="008049E2">
      <w:pPr>
        <w:pStyle w:val="ListParagraph"/>
        <w:numPr>
          <w:ilvl w:val="0"/>
          <w:numId w:val="3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Мэдээллийн технологийн менежмент</w:t>
      </w:r>
    </w:p>
    <w:p w14:paraId="07B93ADB" w14:textId="77777777" w:rsidR="00EE16ED" w:rsidRPr="00443D94" w:rsidRDefault="00EE16ED" w:rsidP="008049E2">
      <w:pPr>
        <w:pStyle w:val="ListParagraph"/>
        <w:numPr>
          <w:ilvl w:val="0"/>
          <w:numId w:val="3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Удирдлагын үр дүн </w:t>
      </w:r>
      <w:sdt>
        <w:sdtPr>
          <w:rPr>
            <w:rFonts w:ascii="Times New Roman" w:hAnsi="Times New Roman" w:cs="Times New Roman"/>
            <w:sz w:val="24"/>
            <w:szCs w:val="24"/>
            <w:lang w:val="mn-MN"/>
          </w:rPr>
          <w:id w:val="-375011579"/>
          <w:citation/>
        </w:sdtPr>
        <w:sdtContent>
          <w:r w:rsidRPr="00443D94">
            <w:rPr>
              <w:rFonts w:ascii="Times New Roman" w:hAnsi="Times New Roman" w:cs="Times New Roman"/>
              <w:sz w:val="24"/>
              <w:szCs w:val="24"/>
              <w:lang w:val="mn-MN"/>
            </w:rPr>
            <w:fldChar w:fldCharType="begin"/>
          </w:r>
          <w:r w:rsidRPr="00443D94">
            <w:rPr>
              <w:rFonts w:ascii="Times New Roman" w:hAnsi="Times New Roman" w:cs="Times New Roman"/>
              <w:sz w:val="24"/>
              <w:szCs w:val="24"/>
              <w:lang w:val="mn-MN"/>
            </w:rPr>
            <w:instrText xml:space="preserve"> CITATION Abo \l 1033 </w:instrText>
          </w:r>
          <w:r w:rsidRPr="00443D94">
            <w:rPr>
              <w:rFonts w:ascii="Times New Roman" w:hAnsi="Times New Roman" w:cs="Times New Roman"/>
              <w:sz w:val="24"/>
              <w:szCs w:val="24"/>
              <w:lang w:val="mn-MN"/>
            </w:rPr>
            <w:fldChar w:fldCharType="separate"/>
          </w:r>
          <w:r w:rsidRPr="00443D94">
            <w:rPr>
              <w:rFonts w:ascii="Times New Roman" w:hAnsi="Times New Roman" w:cs="Times New Roman"/>
              <w:noProof/>
              <w:sz w:val="24"/>
              <w:szCs w:val="24"/>
              <w:lang w:val="mn-MN"/>
            </w:rPr>
            <w:t>(About The Government Performance Project, n.d.)</w:t>
          </w:r>
          <w:r w:rsidRPr="00443D94">
            <w:rPr>
              <w:rFonts w:ascii="Times New Roman" w:hAnsi="Times New Roman" w:cs="Times New Roman"/>
              <w:sz w:val="24"/>
              <w:szCs w:val="24"/>
              <w:lang w:val="mn-MN"/>
            </w:rPr>
            <w:fldChar w:fldCharType="end"/>
          </w:r>
        </w:sdtContent>
      </w:sdt>
      <w:r w:rsidRPr="00443D94">
        <w:rPr>
          <w:rFonts w:ascii="Times New Roman" w:hAnsi="Times New Roman" w:cs="Times New Roman"/>
          <w:sz w:val="24"/>
          <w:szCs w:val="24"/>
          <w:lang w:val="mn-MN"/>
        </w:rPr>
        <w:t xml:space="preserve"> зэрэг байна.</w:t>
      </w:r>
    </w:p>
    <w:p w14:paraId="68139755"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Энэхүү аргачлал нь төрийн байгууллагуудын удирдлагын тогтолцооны чадавхыг үнэлдгээрээ онцлог байна.</w:t>
      </w:r>
      <w:sdt>
        <w:sdtPr>
          <w:rPr>
            <w:rFonts w:ascii="Times New Roman" w:hAnsi="Times New Roman"/>
            <w:sz w:val="24"/>
            <w:lang w:val="mn-MN"/>
          </w:rPr>
          <w:id w:val="1983809869"/>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Rai03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(Hal, 2003)</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w:t>
      </w:r>
    </w:p>
    <w:p w14:paraId="52A1856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Хоёрдугаарт, ИБУИНХУ-аас Гүйцэтгэлийн иж бүрэн үнэлгээг (Comprehensive Performance Assessment) Английн орон нутгийн эрх баригчдад тооцдог байна.</w:t>
      </w:r>
      <w:sdt>
        <w:sdtPr>
          <w:rPr>
            <w:rFonts w:ascii="Times New Roman" w:hAnsi="Times New Roman"/>
            <w:sz w:val="24"/>
            <w:lang w:val="mn-MN"/>
          </w:rPr>
          <w:id w:val="-307175986"/>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And05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(Andrew R, 2005)</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2002 оноос эхлэн Английн орон нутгийн засаг захиргааны үйлчилгээний хүртээмжийг 6 үзүүлэлтээр үнэлэх болсон. Үүнд: Ашиг орлого, Нийгмийн халамж, Хүрээлэн буй орчин, Номын сан, Нөөц ашиглах байдал, Ажлын хугацаа, Дэд бүтэц зэрэг орно. </w:t>
      </w:r>
      <w:sdt>
        <w:sdtPr>
          <w:rPr>
            <w:rFonts w:ascii="Times New Roman" w:hAnsi="Times New Roman"/>
            <w:sz w:val="24"/>
            <w:lang w:val="mn-MN"/>
          </w:rPr>
          <w:id w:val="661503457"/>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Por10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(Porcelli, 2010)</w:t>
          </w:r>
          <w:r w:rsidRPr="00443D94">
            <w:rPr>
              <w:rFonts w:ascii="Times New Roman" w:hAnsi="Times New Roman"/>
              <w:sz w:val="24"/>
              <w:lang w:val="mn-MN"/>
            </w:rPr>
            <w:fldChar w:fldCharType="end"/>
          </w:r>
        </w:sdtContent>
      </w:sdt>
    </w:p>
    <w:p w14:paraId="19886F81" w14:textId="77777777" w:rsidR="00EE16ED" w:rsidRPr="00443D94" w:rsidRDefault="00EE16ED" w:rsidP="008049E2">
      <w:pPr>
        <w:spacing w:line="240" w:lineRule="auto"/>
        <w:ind w:firstLine="720"/>
        <w:jc w:val="both"/>
        <w:rPr>
          <w:rFonts w:ascii="Times New Roman" w:hAnsi="Times New Roman"/>
          <w:color w:val="000000"/>
          <w:sz w:val="24"/>
          <w:lang w:val="mn-MN"/>
        </w:rPr>
      </w:pPr>
      <w:r w:rsidRPr="00443D94">
        <w:rPr>
          <w:rFonts w:ascii="Times New Roman" w:hAnsi="Times New Roman"/>
          <w:sz w:val="24"/>
          <w:lang w:val="mn-MN"/>
        </w:rPr>
        <w:t xml:space="preserve">Гуравдугаарт, Путнам Италийн засгийн газрын тухай сонгодог бүтээлдээ засгийн газрын үйл ажиллагааны гурван хэмжигдэхүүнийг тодорхойлсон. 1. Бодлогын үйл явц. Үүнд Засгийн газрын тогтвортой байдал, төсвийн шуурхай байдал, статистик болон мэдээллийн ил тод байдал зэргийг хамруулжээ. 2. Бодлогын мэдэгдэл. Үүнд шинэчлэл, хууль тогтоомжийн өөрчлөлтийг авч үзсэн. 3. Бодлогын хэрэгжилт. Үүнд аж үйлдвэрийн </w:t>
      </w:r>
      <w:r w:rsidRPr="00443D94">
        <w:rPr>
          <w:rFonts w:ascii="Times New Roman" w:hAnsi="Times New Roman"/>
          <w:sz w:val="24"/>
          <w:lang w:val="mn-MN"/>
        </w:rPr>
        <w:lastRenderedPageBreak/>
        <w:t>бодлогыг хэрэгжүүлэх механизм, хөдөө аж ахуйн зардлын чадавх, орон нутгийн эрүүл мэндийн нэгжийн зардал, орон сууц, хот байгуулалт, хүнд суртлын хариу үйлдэл зэргийг тус ойлголтод хамруулжээ.</w:t>
      </w:r>
      <w:sdt>
        <w:sdtPr>
          <w:rPr>
            <w:rFonts w:ascii="Times New Roman" w:hAnsi="Times New Roman"/>
            <w:sz w:val="24"/>
            <w:lang w:val="mn-MN"/>
          </w:rPr>
          <w:id w:val="831103635"/>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Rob93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(Robert, 1993)</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Гэхдээ зарим судлаачид Путнамын индекс нь гүйцэтгэлээс илүү чадамжийг хэмждэг тул хязгаарлагдмал хэмээн дүгнэжээ.</w:t>
      </w:r>
      <w:sdt>
        <w:sdtPr>
          <w:rPr>
            <w:rFonts w:ascii="Times New Roman" w:hAnsi="Times New Roman"/>
            <w:sz w:val="24"/>
            <w:lang w:val="mn-MN"/>
          </w:rPr>
          <w:id w:val="-339314760"/>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Yan06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(Yang Kaifeng, 2006)</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w:t>
      </w:r>
    </w:p>
    <w:p w14:paraId="222A779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Засгийн газрын үйл ажиллагааг үнэлэхдээ үр ашиг (Efficiency), үр нөлөө (Effectiveness) үнэлэх хандлага байдаг. Засгийн газрын үйл ажиллагааны үр ашгийг үнэлэхдээ төсөв, нөөцийг хэр үр ашигтай зарцуулж байгаад төвлөрдөг. Сайн засгийн газар нийгмийн дэд бүтцийг үр ашигтайгаар бүрдүүлж, нөөцийн үр дүнгүй зарцуулалтаас урьдчилан сэргийлэх замаар эдийн засгийн өсөлтийг нэмэгдүүлэх боломжтой байдаг. </w:t>
      </w:r>
      <w:sdt>
        <w:sdtPr>
          <w:rPr>
            <w:rFonts w:ascii="Times New Roman" w:hAnsi="Times New Roman"/>
            <w:sz w:val="24"/>
            <w:lang w:val="mn-MN"/>
          </w:rPr>
          <w:id w:val="-1318027656"/>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Rob99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(Robert Hall, 1999)</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Үр дүнтэй засгийн газар гэдэг нь хүн амыг хүчирхийлэл, зөрчлөөс хамгаалахын зэрэгцээ хүн суртлын үнэнч шударга байдал, ур чадварыг хангаж, бараа бүтээгдэхүүн солилцох, үйлчилгээ үзүүлэх боломжтой дэд бүтцийн хангамж, засвар үйлчилгээ хийх чадвартай байхыг хэлнэ.</w:t>
      </w:r>
      <w:sdt>
        <w:sdtPr>
          <w:rPr>
            <w:rFonts w:ascii="Times New Roman" w:hAnsi="Times New Roman"/>
            <w:sz w:val="24"/>
            <w:lang w:val="mn-MN"/>
          </w:rPr>
          <w:id w:val="1635051693"/>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Aud10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(Audrey Sacks, 2010)</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w:t>
      </w:r>
    </w:p>
    <w:p w14:paraId="523A9985"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Засгийн газар үр ашигтай ажиллах нь иргэдийн дэмжлэгийг авах нь түгээмэл. АНУ-ын шинээр сонгогдсон Ерөнхийлөгч Дональд Трамп “Үр ашигтай Засгийн газрын департмент” байгуулахаа зарласан. Нөгөө талаар засгийн газрын үр ашигтай ажиллах нь эерэг үр дүнтэй байдаггүй талаар зарим судлаачид онцолдог. Тухайлбал Оксфордын их сургуулийн профессор Картик Раманна засгийн газар бизнесийн салбарынхантай адил өрсөлдөөнд ордоггүй учраас хэт үр ашигтай байх нь зарим талаараа аюултай үр дагаварт хүргэдэг хэмээжээ. Жишээ нь: Шүүхийн байгууллагууд шүүх үйл явцыг “үр ашигтай” болгож, хэр хурдан шийдвэр гаргавал шүүхийн шударга байдал алдагдана. Мөн Улсын эмнэлэгт яаралтай мэс засал хийж буй эмч нар хэмнэлт бодож ажиллавал аврагдах боломжтой өвчтөнүүдийг алдах эрсдэлтэй.</w:t>
      </w:r>
      <w:sdt>
        <w:sdtPr>
          <w:rPr>
            <w:rFonts w:ascii="Times New Roman" w:hAnsi="Times New Roman"/>
            <w:sz w:val="24"/>
            <w:lang w:val="mn-MN"/>
          </w:rPr>
          <w:id w:val="-477691973"/>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Ram24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(Ramanna, 2024)</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Төрийн удирдлагад зөвхөн үр ашиг биш, аюулгүй байдал, шударга ёс, нийгмийн тэгш байдал, шударга хуваарилалт гэх мэт олон хүчин зүйлийг харгалзан үзэх хэрэгтэй гэж Харвардын нийтийн удирдлагын эрдэмтэн Марвин Бауэр дүгнэжээ. Үүнийг төрийн бодлогын үр нөлөө гэж тодорхойлжээ. Үр нөлөөгөөр дамжуулж засгийн газрын үйл ажиллагааг үнэлэхдээ бодлого, шийдвэрээр иргэдийн амьдралд бодит өөрчлөлт бий болгож байгаа эсэхэд төвлөрдөг байна. Ихэнх судалгаанууд нэг төрлийн байгууллагын үр нөлөө, хэд хэдэн агентлагуудын үйл ажиллагааны үр нөлөө, эсвэл тодорхой муж улсын засгийн газрын үр нөлөөг үнэлсэн байна. Цөөн тооны судалгаанд засгийн газрын үр нөлөөг үнэлж, дүгнэсэн эсвэл улс орнуудын засгийн газруудын үйл ажиллагааны үр нөлөөг харьцуулж авч үзжээ.</w:t>
      </w:r>
      <w:sdt>
        <w:sdtPr>
          <w:rPr>
            <w:rFonts w:ascii="Times New Roman" w:hAnsi="Times New Roman"/>
            <w:sz w:val="24"/>
            <w:lang w:val="mn-MN"/>
          </w:rPr>
          <w:id w:val="1822536085"/>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Joh01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(John, 2001)</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Засгийн газрын үр нөлөөг хэмжихийн тулд судлаачид олон төрлийн хүчин зүйлс хамаарч байгааг тодорхойлсон судалгааны үр дүн олон байна. Тухайлбал Азийн хөгжлийн банкнаас улс орнуудад хийсэн судалгаагаар засаглалын чанар, эдийн засгийн өсөлт, засгийн газрын үйл ажиллагаанд ихээхэн нөлөөлдөг гэж дүгнэсэн бол зарим судлаачид улс төрийн тогтвортой байдал, улс төрийн дэглэмийн төрөл, авлигын хяналт, засгийн газрын зардал зэрэг нь засгийн газрын гүйцэтгэлд чухал нөлөөтэйг онцолжээ.</w:t>
      </w:r>
      <w:sdt>
        <w:sdtPr>
          <w:rPr>
            <w:rFonts w:ascii="Times New Roman" w:hAnsi="Times New Roman"/>
            <w:sz w:val="24"/>
            <w:lang w:val="mn-MN"/>
          </w:rPr>
          <w:id w:val="-1902043264"/>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Tok08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(Toke Aidt, 2008)</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Дэлхийн банкнаас улс орнуудын засгийн газрын үр нөлөөг үнэлэх индекс гаргадаг. Тус индексэд Засгийн газрын үр нөлөөг үнэлэхдээ 1. Төрийн үйлчилгээний чанар, 2. Төрийн албаны чанар, 3. Бодлого боловсруулах, хэрэгжүүлэх чанар, 4. Төрөөс бодлогод баримталж буй итгэл үнэмшил зэрэг шалгуурыг баримталдаг байна.</w:t>
      </w:r>
    </w:p>
    <w:p w14:paraId="080D4067" w14:textId="77777777" w:rsidR="00B81E3E" w:rsidRPr="00443D94" w:rsidRDefault="00B81E3E" w:rsidP="008049E2">
      <w:pPr>
        <w:spacing w:line="240" w:lineRule="auto"/>
        <w:jc w:val="both"/>
        <w:rPr>
          <w:rFonts w:ascii="Times New Roman" w:eastAsia="Times New Roman" w:hAnsi="Times New Roman"/>
          <w:b/>
          <w:bCs/>
          <w:color w:val="000000"/>
          <w:sz w:val="24"/>
          <w:lang w:val="mn-MN"/>
        </w:rPr>
      </w:pPr>
    </w:p>
    <w:p w14:paraId="2D206FF7" w14:textId="238D8AA9" w:rsidR="00EE16ED" w:rsidRPr="00443D94" w:rsidRDefault="00EE16ED" w:rsidP="008049E2">
      <w:pPr>
        <w:spacing w:line="240" w:lineRule="auto"/>
        <w:jc w:val="both"/>
        <w:rPr>
          <w:rFonts w:ascii="Times New Roman" w:eastAsia="Times New Roman" w:hAnsi="Times New Roman"/>
          <w:b/>
          <w:bCs/>
          <w:color w:val="000000"/>
          <w:sz w:val="24"/>
          <w:lang w:val="mn-MN"/>
        </w:rPr>
      </w:pPr>
      <w:r w:rsidRPr="00443D94">
        <w:rPr>
          <w:rFonts w:ascii="Times New Roman" w:eastAsia="Times New Roman" w:hAnsi="Times New Roman"/>
          <w:b/>
          <w:bCs/>
          <w:color w:val="000000"/>
          <w:sz w:val="24"/>
          <w:lang w:val="mn-MN"/>
        </w:rPr>
        <w:t>Хэлэлцүүлэг</w:t>
      </w:r>
    </w:p>
    <w:p w14:paraId="7CCE64C7" w14:textId="77777777" w:rsidR="00B81E3E" w:rsidRPr="00443D94" w:rsidRDefault="00B81E3E" w:rsidP="008049E2">
      <w:pPr>
        <w:spacing w:line="240" w:lineRule="auto"/>
        <w:jc w:val="both"/>
        <w:rPr>
          <w:rFonts w:ascii="Times New Roman" w:eastAsia="Times New Roman" w:hAnsi="Times New Roman"/>
          <w:color w:val="000000"/>
          <w:sz w:val="24"/>
          <w:lang w:val="mn-MN"/>
        </w:rPr>
      </w:pPr>
    </w:p>
    <w:p w14:paraId="4058979D" w14:textId="77777777" w:rsidR="00B81E3E" w:rsidRPr="00443D94" w:rsidRDefault="00EE16ED" w:rsidP="008049E2">
      <w:pPr>
        <w:spacing w:line="240" w:lineRule="auto"/>
        <w:jc w:val="both"/>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 xml:space="preserve">Засгийн газрын үйл ажиллагааг үнэлэх асуудал нь улс төр, эдийн засаг, нийгмийн олон хүчин зүйлсээс хамаардаг бөгөөд улс орон бүр өөрийн онцлогт тохирсон үнэлгээний аргачлалыг ашигладаг. Судалгааны үр дүнгээс харахад засгийн газрын гүйцэтгэлийг хэмжих олон улсын аргачлалууд нь ихэвчлэн засаглалын чанар, эдийн засгийн тогтвортой байдал, иргэдийн оролцоо, хариуцлагын тогтолцоо зэрэг үндсэн үзүүлэлтүүдэд </w:t>
      </w:r>
      <w:r w:rsidRPr="00443D94">
        <w:rPr>
          <w:rFonts w:ascii="Times New Roman" w:eastAsia="Times New Roman" w:hAnsi="Times New Roman"/>
          <w:color w:val="000000"/>
          <w:sz w:val="24"/>
          <w:lang w:val="mn-MN"/>
        </w:rPr>
        <w:lastRenderedPageBreak/>
        <w:t>тулгуурладаг. Гэсэн хэдий ч эдгээр аргачлалуудыг улс орны онцлог, нийгэм-улс төрийн нөхцөл байдалтай уялдуулан хэрэглэх нь зайлшгүй шаардлагатай юм.</w:t>
      </w:r>
    </w:p>
    <w:p w14:paraId="10E60BD7" w14:textId="21BD483D" w:rsidR="00EE16ED" w:rsidRPr="00443D94" w:rsidRDefault="00EE16ED" w:rsidP="008049E2">
      <w:pPr>
        <w:spacing w:line="240" w:lineRule="auto"/>
        <w:ind w:firstLine="720"/>
        <w:jc w:val="both"/>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 xml:space="preserve">Дэлхийн банк, НҮБ, ЭЗХАХБ зэрэг олон улсын байгууллагууд засгийн газрын үйл ажиллагааны үнэлгээнд үр нөлөө (effectiveness), үр ашиг (efficiency), ил тод байдал (transparency), хариуцлагын тогтолцоо (accountability) зэрэг үзүүлэлтийг онцолдог. Гэсэн хэдий ч зарим судлаачид дээрх үнэлгээнүүд нь улс орнуудын бодит нөхцөл байдал, соёл, улс төрийн түүхийг бүрэн харгалзан үзэж чаддаггүй гэдэг шүүмжлэл гаргадаг. (Kaufmann, 2007) Харин ЭЗХАХБ-аас гишүүн орнуудын засгийн газрын гүйцэтгэлийг доорх хүснэгтэд дурдсан үзүүлэлтүүдээ хэмждэг байна. </w:t>
      </w:r>
    </w:p>
    <w:p w14:paraId="75891CB5" w14:textId="77777777" w:rsidR="00B81E3E" w:rsidRPr="00443D94" w:rsidRDefault="00B81E3E" w:rsidP="008049E2">
      <w:pPr>
        <w:spacing w:line="240" w:lineRule="auto"/>
        <w:ind w:firstLine="720"/>
        <w:jc w:val="both"/>
        <w:rPr>
          <w:rFonts w:ascii="Times New Roman" w:eastAsia="Times New Roman" w:hAnsi="Times New Roman"/>
          <w:color w:val="000000"/>
          <w:sz w:val="24"/>
          <w:lang w:val="mn-MN"/>
        </w:rPr>
      </w:pPr>
    </w:p>
    <w:p w14:paraId="6460F046" w14:textId="281F2FB6" w:rsidR="00EE16ED" w:rsidRPr="00443D94" w:rsidRDefault="00EE16ED" w:rsidP="008049E2">
      <w:pPr>
        <w:spacing w:line="240" w:lineRule="auto"/>
        <w:jc w:val="center"/>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Хүснэгт №1. ЭЗХАХБ -аас гишүүнд орнуудын засгийн газрыг үнэлэх шалгуур</w:t>
      </w:r>
    </w:p>
    <w:p w14:paraId="4F761895" w14:textId="77777777" w:rsidR="00B81E3E" w:rsidRPr="00443D94" w:rsidRDefault="00B81E3E" w:rsidP="008049E2">
      <w:pPr>
        <w:spacing w:line="240" w:lineRule="auto"/>
        <w:jc w:val="center"/>
        <w:rPr>
          <w:rFonts w:ascii="Times New Roman" w:eastAsia="Times New Roman" w:hAnsi="Times New Roman"/>
          <w:color w:val="000000"/>
          <w:sz w:val="24"/>
          <w:lang w:val="mn-MN"/>
        </w:rPr>
      </w:pPr>
    </w:p>
    <w:tbl>
      <w:tblPr>
        <w:tblStyle w:val="TableGrid"/>
        <w:tblW w:w="0" w:type="auto"/>
        <w:tblLook w:val="04A0" w:firstRow="1" w:lastRow="0" w:firstColumn="1" w:lastColumn="0" w:noHBand="0" w:noVBand="1"/>
      </w:tblPr>
      <w:tblGrid>
        <w:gridCol w:w="2829"/>
        <w:gridCol w:w="6515"/>
      </w:tblGrid>
      <w:tr w:rsidR="00EE16ED" w:rsidRPr="00443D94" w14:paraId="52CD07FF" w14:textId="77777777" w:rsidTr="005A30D5">
        <w:tc>
          <w:tcPr>
            <w:tcW w:w="2830" w:type="dxa"/>
          </w:tcPr>
          <w:p w14:paraId="75EE9DF8"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Шалгуур</w:t>
            </w:r>
          </w:p>
        </w:tc>
        <w:tc>
          <w:tcPr>
            <w:tcW w:w="6520" w:type="dxa"/>
          </w:tcPr>
          <w:p w14:paraId="5E2F2C8D"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Индикатор</w:t>
            </w:r>
          </w:p>
        </w:tc>
      </w:tr>
      <w:tr w:rsidR="00EE16ED" w:rsidRPr="00443D94" w14:paraId="71B37FAC" w14:textId="77777777" w:rsidTr="005A30D5">
        <w:tc>
          <w:tcPr>
            <w:tcW w:w="2830" w:type="dxa"/>
          </w:tcPr>
          <w:p w14:paraId="1EB89542"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Ардчилсан засаглал, түүнд итгэх итгэл</w:t>
            </w:r>
          </w:p>
        </w:tc>
        <w:tc>
          <w:tcPr>
            <w:tcW w:w="6520" w:type="dxa"/>
          </w:tcPr>
          <w:p w14:paraId="2A42D3BA"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Төрийн байгууллагуудад итгэх итгэл</w:t>
            </w:r>
          </w:p>
          <w:p w14:paraId="60C15CBC"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Төрийн албанд итгэх итгэх</w:t>
            </w:r>
          </w:p>
          <w:p w14:paraId="750F9427"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Улс төрийн үр ашиг</w:t>
            </w:r>
          </w:p>
        </w:tc>
      </w:tr>
      <w:tr w:rsidR="00EE16ED" w:rsidRPr="009319DE" w14:paraId="095AD9BD" w14:textId="77777777" w:rsidTr="005A30D5">
        <w:tc>
          <w:tcPr>
            <w:tcW w:w="2830" w:type="dxa"/>
          </w:tcPr>
          <w:p w14:paraId="0E35CBB8"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Төрийн үйлчилгээний сэтгэл ханамж</w:t>
            </w:r>
          </w:p>
        </w:tc>
        <w:tc>
          <w:tcPr>
            <w:tcW w:w="6520" w:type="dxa"/>
          </w:tcPr>
          <w:p w14:paraId="40D50A6A"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Удирдлагын үйлчилгээний чанар, хариуцлага, хүртээмжтэй байдал</w:t>
            </w:r>
          </w:p>
          <w:p w14:paraId="47FD63AB"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Эрүүл мэндийн үйлчилгээний чанар, хариуцлага, хүртээмжтэй байдал</w:t>
            </w:r>
          </w:p>
          <w:p w14:paraId="5EE564D2"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Боловсролын үйлчилгээний чанар, хариуцлага, хүртээмжтэй байдал</w:t>
            </w:r>
          </w:p>
          <w:p w14:paraId="2159B3FE"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Хуулийн байгууллагын үйлчилгээний чанар, хариуцлага, хүртээмжтэй байдал</w:t>
            </w:r>
          </w:p>
        </w:tc>
      </w:tr>
      <w:tr w:rsidR="00EE16ED" w:rsidRPr="00443D94" w14:paraId="5BAF4417" w14:textId="77777777" w:rsidTr="005A30D5">
        <w:trPr>
          <w:trHeight w:val="1117"/>
        </w:trPr>
        <w:tc>
          <w:tcPr>
            <w:tcW w:w="2830" w:type="dxa"/>
          </w:tcPr>
          <w:p w14:paraId="7D5FDF8E"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Бодлогын эргэх холбоо, засаглал</w:t>
            </w:r>
          </w:p>
        </w:tc>
        <w:tc>
          <w:tcPr>
            <w:tcW w:w="6520" w:type="dxa"/>
          </w:tcPr>
          <w:p w14:paraId="621037C1"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Нээлттэй болон хүртээмжтэй байдал</w:t>
            </w:r>
          </w:p>
          <w:p w14:paraId="2337D9FB"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Ашиг сонирхлын зөрчлийг зохицуулах механизм</w:t>
            </w:r>
          </w:p>
          <w:p w14:paraId="30B2371E"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Улс төрийн намууд болон сонгуулийн санхүүжилт</w:t>
            </w:r>
          </w:p>
          <w:p w14:paraId="3FF957EF"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 xml:space="preserve">Хууль дээдлэх ёс </w:t>
            </w:r>
          </w:p>
        </w:tc>
      </w:tr>
      <w:tr w:rsidR="00EE16ED" w:rsidRPr="00443D94" w14:paraId="08F3AE3A" w14:textId="77777777" w:rsidTr="005A30D5">
        <w:tc>
          <w:tcPr>
            <w:tcW w:w="2830" w:type="dxa"/>
          </w:tcPr>
          <w:p w14:paraId="6DD3FF25"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Хуулийн засаглал</w:t>
            </w:r>
          </w:p>
        </w:tc>
        <w:tc>
          <w:tcPr>
            <w:tcW w:w="6520" w:type="dxa"/>
          </w:tcPr>
          <w:p w14:paraId="78F011A5"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Талуудын оролцоог хангах байдал</w:t>
            </w:r>
          </w:p>
          <w:p w14:paraId="2CE1D3AA"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Хуулийн хэрэгжилт, нөлөөлөл</w:t>
            </w:r>
          </w:p>
          <w:p w14:paraId="6E81E9CF"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Олон улсын гэрээний хэрэгжилт</w:t>
            </w:r>
          </w:p>
        </w:tc>
      </w:tr>
      <w:tr w:rsidR="00EE16ED" w:rsidRPr="00443D94" w14:paraId="0AB75D55" w14:textId="77777777" w:rsidTr="005A30D5">
        <w:tc>
          <w:tcPr>
            <w:tcW w:w="2830" w:type="dxa"/>
          </w:tcPr>
          <w:p w14:paraId="076F9CA6"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Төсвийн зарцуулалт</w:t>
            </w:r>
          </w:p>
        </w:tc>
        <w:tc>
          <w:tcPr>
            <w:tcW w:w="6520" w:type="dxa"/>
          </w:tcPr>
          <w:p w14:paraId="5FD93AE9"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Ногоон бодлогод суурилсан төсөв</w:t>
            </w:r>
          </w:p>
          <w:p w14:paraId="2BB5D5BC"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Жендэрт суурилсан төсөв</w:t>
            </w:r>
          </w:p>
          <w:p w14:paraId="79D56602"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Бие даасан төсвийн институциуд</w:t>
            </w:r>
          </w:p>
        </w:tc>
      </w:tr>
      <w:tr w:rsidR="00EE16ED" w:rsidRPr="009319DE" w14:paraId="21C28904" w14:textId="77777777" w:rsidTr="005A30D5">
        <w:tc>
          <w:tcPr>
            <w:tcW w:w="2830" w:type="dxa"/>
          </w:tcPr>
          <w:p w14:paraId="37842A12"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Төрийн худалдан авах ажиллагаа</w:t>
            </w:r>
          </w:p>
        </w:tc>
        <w:tc>
          <w:tcPr>
            <w:tcW w:w="6520" w:type="dxa"/>
          </w:tcPr>
          <w:p w14:paraId="644EC41C"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Төрийн худалдан авах ажиллагааны хэмжээ</w:t>
            </w:r>
          </w:p>
          <w:p w14:paraId="3CC662A1"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Төрийн худалдан авах ажиллагааны ногоон стратеги</w:t>
            </w:r>
          </w:p>
        </w:tc>
      </w:tr>
      <w:tr w:rsidR="00EE16ED" w:rsidRPr="009319DE" w14:paraId="74337FE5" w14:textId="77777777" w:rsidTr="005A30D5">
        <w:trPr>
          <w:trHeight w:val="298"/>
        </w:trPr>
        <w:tc>
          <w:tcPr>
            <w:tcW w:w="2830" w:type="dxa"/>
          </w:tcPr>
          <w:p w14:paraId="3F0F1FB7"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Дэд бүтэц</w:t>
            </w:r>
          </w:p>
        </w:tc>
        <w:tc>
          <w:tcPr>
            <w:tcW w:w="6520" w:type="dxa"/>
          </w:tcPr>
          <w:p w14:paraId="42409156"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Дэд бүтэцтэй холбоотой шийдвэрүүдэд талуудын оролцоо</w:t>
            </w:r>
          </w:p>
          <w:p w14:paraId="421472A0"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Дэд бүтцийн зохицуулалтын тогтолцоо, зохицуулалт</w:t>
            </w:r>
          </w:p>
          <w:p w14:paraId="257E2A8F"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Байгаль орчинд ээлтэй дэд бүтэц байгуулах</w:t>
            </w:r>
          </w:p>
        </w:tc>
      </w:tr>
      <w:tr w:rsidR="00EE16ED" w:rsidRPr="00443D94" w14:paraId="3AB8B98F" w14:textId="77777777" w:rsidTr="005A30D5">
        <w:trPr>
          <w:trHeight w:val="256"/>
        </w:trPr>
        <w:tc>
          <w:tcPr>
            <w:tcW w:w="2830" w:type="dxa"/>
          </w:tcPr>
          <w:p w14:paraId="76BE6D1F"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Дижитал засаглал, ил тод байдал</w:t>
            </w:r>
          </w:p>
        </w:tc>
        <w:tc>
          <w:tcPr>
            <w:tcW w:w="6520" w:type="dxa"/>
          </w:tcPr>
          <w:p w14:paraId="026D4510"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Төрийн бодлогыг идэвхтэй хүргэхийн тулд хиймэл оюун ухааныг ашиглах байдал</w:t>
            </w:r>
          </w:p>
          <w:p w14:paraId="34FF2199"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Мэдээллийн ил тод байдал</w:t>
            </w:r>
          </w:p>
        </w:tc>
      </w:tr>
      <w:tr w:rsidR="00EE16ED" w:rsidRPr="00443D94" w14:paraId="49077DD6" w14:textId="77777777" w:rsidTr="005A30D5">
        <w:trPr>
          <w:trHeight w:val="237"/>
        </w:trPr>
        <w:tc>
          <w:tcPr>
            <w:tcW w:w="2830" w:type="dxa"/>
          </w:tcPr>
          <w:p w14:paraId="5BB37EA9"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Төсвийн орлого</w:t>
            </w:r>
          </w:p>
        </w:tc>
        <w:tc>
          <w:tcPr>
            <w:tcW w:w="6520" w:type="dxa"/>
          </w:tcPr>
          <w:p w14:paraId="100EFFD3"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Төсвийн орлого, түүний бүтэц</w:t>
            </w:r>
          </w:p>
          <w:p w14:paraId="2A7900BE"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Засгийн газрын нийт өр</w:t>
            </w:r>
          </w:p>
          <w:p w14:paraId="7F1E509C"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Үйлдвэрлэлийн зардал ба аутсорсинг</w:t>
            </w:r>
          </w:p>
        </w:tc>
      </w:tr>
      <w:tr w:rsidR="00EE16ED" w:rsidRPr="00443D94" w14:paraId="757F2B31" w14:textId="77777777" w:rsidTr="005A30D5">
        <w:trPr>
          <w:trHeight w:val="237"/>
        </w:trPr>
        <w:tc>
          <w:tcPr>
            <w:tcW w:w="2830" w:type="dxa"/>
          </w:tcPr>
          <w:p w14:paraId="3F735CAC"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Төсвийн зардал</w:t>
            </w:r>
          </w:p>
        </w:tc>
        <w:tc>
          <w:tcPr>
            <w:tcW w:w="6520" w:type="dxa"/>
          </w:tcPr>
          <w:p w14:paraId="47B71BD5"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Төсвийн зарлага</w:t>
            </w:r>
          </w:p>
          <w:p w14:paraId="56B3A30D"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Засгийн газрын хөрөнгө оруулалтын зардал</w:t>
            </w:r>
          </w:p>
          <w:p w14:paraId="44832069"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Төсвийн тэнцэл</w:t>
            </w:r>
          </w:p>
        </w:tc>
      </w:tr>
      <w:tr w:rsidR="00EE16ED" w:rsidRPr="009319DE" w14:paraId="3B7B7414" w14:textId="77777777" w:rsidTr="005A30D5">
        <w:trPr>
          <w:trHeight w:val="237"/>
        </w:trPr>
        <w:tc>
          <w:tcPr>
            <w:tcW w:w="2830" w:type="dxa"/>
          </w:tcPr>
          <w:p w14:paraId="2AA8E8D8" w14:textId="77777777" w:rsidR="00EE16ED" w:rsidRPr="00443D94" w:rsidRDefault="00EE16ED" w:rsidP="008049E2">
            <w:pPr>
              <w:spacing w:line="240" w:lineRule="auto"/>
              <w:jc w:val="both"/>
              <w:rPr>
                <w:rFonts w:ascii="Times New Roman" w:eastAsia="Times New Roman" w:hAnsi="Times New Roman"/>
                <w:color w:val="000000"/>
                <w:sz w:val="22"/>
                <w:szCs w:val="22"/>
                <w:lang w:val="mn-MN"/>
              </w:rPr>
            </w:pPr>
            <w:r w:rsidRPr="00443D94">
              <w:rPr>
                <w:rFonts w:ascii="Times New Roman" w:eastAsia="Times New Roman" w:hAnsi="Times New Roman"/>
                <w:color w:val="000000"/>
                <w:sz w:val="22"/>
                <w:szCs w:val="22"/>
                <w:lang w:val="mn-MN"/>
              </w:rPr>
              <w:t>Хүний нөөцийн удирдлага</w:t>
            </w:r>
          </w:p>
        </w:tc>
        <w:tc>
          <w:tcPr>
            <w:tcW w:w="6520" w:type="dxa"/>
          </w:tcPr>
          <w:p w14:paraId="2CF96BA1"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Тогтвортой байдал, хөдөлгөөн</w:t>
            </w:r>
          </w:p>
          <w:p w14:paraId="77A2CC10" w14:textId="77777777" w:rsidR="00EE16ED" w:rsidRPr="00443D94" w:rsidRDefault="00EE16ED" w:rsidP="008049E2">
            <w:pPr>
              <w:pStyle w:val="ListParagraph"/>
              <w:numPr>
                <w:ilvl w:val="0"/>
                <w:numId w:val="32"/>
              </w:numPr>
              <w:spacing w:after="0" w:line="240" w:lineRule="auto"/>
              <w:jc w:val="both"/>
              <w:rPr>
                <w:rFonts w:ascii="Times New Roman" w:eastAsia="Times New Roman" w:hAnsi="Times New Roman" w:cs="Times New Roman"/>
                <w:color w:val="000000"/>
                <w:lang w:val="mn-MN"/>
              </w:rPr>
            </w:pPr>
            <w:r w:rsidRPr="00443D94">
              <w:rPr>
                <w:rFonts w:ascii="Times New Roman" w:eastAsia="Times New Roman" w:hAnsi="Times New Roman" w:cs="Times New Roman"/>
                <w:color w:val="000000"/>
                <w:lang w:val="mn-MN"/>
              </w:rPr>
              <w:t>Ажилчдын оролцоог дэмжих уян хатан байдал</w:t>
            </w:r>
          </w:p>
        </w:tc>
      </w:tr>
    </w:tbl>
    <w:p w14:paraId="0A20FD42" w14:textId="77777777" w:rsidR="00EE16ED" w:rsidRPr="00443D94" w:rsidRDefault="00EE16ED" w:rsidP="008049E2">
      <w:pPr>
        <w:spacing w:line="240" w:lineRule="auto"/>
        <w:jc w:val="both"/>
        <w:rPr>
          <w:rFonts w:ascii="Times New Roman" w:eastAsia="Times New Roman" w:hAnsi="Times New Roman"/>
          <w:i/>
          <w:iCs/>
          <w:color w:val="000000"/>
          <w:sz w:val="24"/>
          <w:lang w:val="mn-MN"/>
        </w:rPr>
      </w:pPr>
      <w:r w:rsidRPr="00443D94">
        <w:rPr>
          <w:rFonts w:ascii="Times New Roman" w:eastAsia="Times New Roman" w:hAnsi="Times New Roman"/>
          <w:i/>
          <w:iCs/>
          <w:color w:val="000000"/>
          <w:sz w:val="24"/>
          <w:lang w:val="mn-MN"/>
        </w:rPr>
        <w:t xml:space="preserve">Эх сурвалж: OECD, Government at a Glance, 2023 </w:t>
      </w:r>
      <w:sdt>
        <w:sdtPr>
          <w:rPr>
            <w:rFonts w:ascii="Times New Roman" w:eastAsia="Times New Roman" w:hAnsi="Times New Roman"/>
            <w:i/>
            <w:iCs/>
            <w:color w:val="000000"/>
            <w:sz w:val="24"/>
            <w:lang w:val="mn-MN"/>
          </w:rPr>
          <w:id w:val="-1012445887"/>
          <w:citation/>
        </w:sdtPr>
        <w:sdtContent>
          <w:r w:rsidRPr="00443D94">
            <w:rPr>
              <w:rFonts w:ascii="Times New Roman" w:eastAsia="Times New Roman" w:hAnsi="Times New Roman"/>
              <w:i/>
              <w:iCs/>
              <w:color w:val="000000"/>
              <w:sz w:val="24"/>
              <w:lang w:val="mn-MN"/>
            </w:rPr>
            <w:fldChar w:fldCharType="begin"/>
          </w:r>
          <w:r w:rsidRPr="00443D94">
            <w:rPr>
              <w:rFonts w:ascii="Times New Roman" w:eastAsia="Times New Roman" w:hAnsi="Times New Roman"/>
              <w:i/>
              <w:iCs/>
              <w:color w:val="000000"/>
              <w:sz w:val="24"/>
              <w:lang w:val="mn-MN"/>
            </w:rPr>
            <w:instrText xml:space="preserve"> CITATION OEC23 \l 1033 </w:instrText>
          </w:r>
          <w:r w:rsidRPr="00443D94">
            <w:rPr>
              <w:rFonts w:ascii="Times New Roman" w:eastAsia="Times New Roman" w:hAnsi="Times New Roman"/>
              <w:i/>
              <w:iCs/>
              <w:color w:val="000000"/>
              <w:sz w:val="24"/>
              <w:lang w:val="mn-MN"/>
            </w:rPr>
            <w:fldChar w:fldCharType="separate"/>
          </w:r>
          <w:r w:rsidRPr="00443D94">
            <w:rPr>
              <w:rFonts w:ascii="Times New Roman" w:eastAsia="Times New Roman" w:hAnsi="Times New Roman"/>
              <w:noProof/>
              <w:color w:val="000000"/>
              <w:sz w:val="24"/>
              <w:lang w:val="mn-MN"/>
            </w:rPr>
            <w:t>(OECD, 2023)</w:t>
          </w:r>
          <w:r w:rsidRPr="00443D94">
            <w:rPr>
              <w:rFonts w:ascii="Times New Roman" w:eastAsia="Times New Roman" w:hAnsi="Times New Roman"/>
              <w:i/>
              <w:iCs/>
              <w:color w:val="000000"/>
              <w:sz w:val="24"/>
              <w:lang w:val="mn-MN"/>
            </w:rPr>
            <w:fldChar w:fldCharType="end"/>
          </w:r>
        </w:sdtContent>
      </w:sdt>
    </w:p>
    <w:p w14:paraId="5B1C65F4" w14:textId="77777777" w:rsidR="00B81E3E" w:rsidRPr="00443D94" w:rsidRDefault="00B81E3E" w:rsidP="008049E2">
      <w:pPr>
        <w:spacing w:line="240" w:lineRule="auto"/>
        <w:jc w:val="both"/>
        <w:rPr>
          <w:rFonts w:ascii="Times New Roman" w:eastAsia="Times New Roman" w:hAnsi="Times New Roman"/>
          <w:color w:val="000000"/>
          <w:sz w:val="24"/>
          <w:lang w:val="mn-MN"/>
        </w:rPr>
      </w:pPr>
    </w:p>
    <w:p w14:paraId="2EA08639" w14:textId="105D01D8" w:rsidR="00EE16ED" w:rsidRPr="00443D94" w:rsidRDefault="00EE16ED" w:rsidP="008049E2">
      <w:pPr>
        <w:spacing w:line="240" w:lineRule="auto"/>
        <w:jc w:val="both"/>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 xml:space="preserve">Монгол Улсын хувьд засгийн газрын үйл ажиллагааны гүйцэтгэлийг үнэлэх тогтолцоо нь санхүүгийн хяналт, бодлогын хэрэгжилт, нийгмийн үйлчилгээний чанар, иргэдийн үнэлгээ </w:t>
      </w:r>
      <w:r w:rsidRPr="00443D94">
        <w:rPr>
          <w:rFonts w:ascii="Times New Roman" w:eastAsia="Times New Roman" w:hAnsi="Times New Roman"/>
          <w:color w:val="000000"/>
          <w:sz w:val="24"/>
          <w:lang w:val="mn-MN"/>
        </w:rPr>
        <w:lastRenderedPageBreak/>
        <w:t>зэрэг олон чиглэлээр хийгдэж байгаа ч зарим тулгамдсан асуудлууд ажиглагдаж байна. Тухайлбал, төсвийн зарцуулалтын ил тод байдал хангалтгүй, төрийн байгууллагуудын уялдаа холбоо сул, бодлогын хэрэгжилтийн үр дүнг хэмжих нэгдсэн системгүй зэрэг хүндрэлүүд байгаа нь судалгаагаар илэрсэн. Засгийн газрын үйл ажиллагааны үнэлгээнд зөвхөн эдийн засгийн болон институцийн үзүүлэлтүүдийг авч үзэх нь хангалтгүй бөгөөд нийгмийн сэтгэл зүй, улс төрийн тогтвортой байдал, иргэдийн итгэл зэрэг субьектив хүчин зүйлсийг мөн харгалзан үзэх шаардлагатай юм. Олон улсын судалгаанууд ч засаглалын чанар нь зөвхөн хууль, эрх зүйн орчноос гадна соёлын онцлог, түүхэн хүчин зүйлсээс хамаардаг болохыг баталж байна. (North, 1990; Fukuyama, 2014)</w:t>
      </w:r>
    </w:p>
    <w:p w14:paraId="5F4A09DA" w14:textId="77777777" w:rsidR="00EE16ED" w:rsidRPr="00443D94" w:rsidRDefault="00EE16ED" w:rsidP="008049E2">
      <w:pPr>
        <w:spacing w:line="240" w:lineRule="auto"/>
        <w:ind w:firstLine="720"/>
        <w:jc w:val="both"/>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Үүнээс харахад засгийн газрын гүйцэтгэлийг үнэлэхэд хэд хэдэн нийтлэг шалгуур үзүүлэлтүүд байна. Уг нийтлэг шалгуураар Монгол Улс Засгийн газрын гүйцэтгэлийг үнэлэх боломжтой юм хэмээн үзэж байна. Үүнд:</w:t>
      </w:r>
    </w:p>
    <w:p w14:paraId="3668E589" w14:textId="77777777" w:rsidR="00EE16ED" w:rsidRPr="00443D94" w:rsidRDefault="00EE16ED" w:rsidP="008049E2">
      <w:pPr>
        <w:pStyle w:val="ListParagraph"/>
        <w:numPr>
          <w:ilvl w:val="0"/>
          <w:numId w:val="34"/>
        </w:numPr>
        <w:spacing w:after="0" w:line="240" w:lineRule="auto"/>
        <w:jc w:val="both"/>
        <w:rPr>
          <w:rFonts w:ascii="Times New Roman" w:eastAsia="Times New Roman" w:hAnsi="Times New Roman" w:cs="Times New Roman"/>
          <w:color w:val="000000"/>
          <w:sz w:val="24"/>
          <w:szCs w:val="24"/>
          <w:lang w:val="mn-MN"/>
        </w:rPr>
      </w:pPr>
      <w:r w:rsidRPr="00443D94">
        <w:rPr>
          <w:rFonts w:ascii="Times New Roman" w:eastAsia="Times New Roman" w:hAnsi="Times New Roman" w:cs="Times New Roman"/>
          <w:color w:val="000000"/>
          <w:sz w:val="24"/>
          <w:szCs w:val="24"/>
          <w:lang w:val="mn-MN"/>
        </w:rPr>
        <w:t xml:space="preserve">Эдийн засгийн хөгжил, </w:t>
      </w:r>
    </w:p>
    <w:p w14:paraId="713A7D7A" w14:textId="77777777" w:rsidR="00EE16ED" w:rsidRPr="00443D94" w:rsidRDefault="00EE16ED" w:rsidP="008049E2">
      <w:pPr>
        <w:pStyle w:val="ListParagraph"/>
        <w:numPr>
          <w:ilvl w:val="0"/>
          <w:numId w:val="34"/>
        </w:numPr>
        <w:spacing w:after="0" w:line="240" w:lineRule="auto"/>
        <w:jc w:val="both"/>
        <w:rPr>
          <w:rFonts w:ascii="Times New Roman" w:eastAsia="Times New Roman" w:hAnsi="Times New Roman" w:cs="Times New Roman"/>
          <w:color w:val="000000"/>
          <w:sz w:val="24"/>
          <w:szCs w:val="24"/>
          <w:lang w:val="mn-MN"/>
        </w:rPr>
      </w:pPr>
      <w:r w:rsidRPr="00443D94">
        <w:rPr>
          <w:rFonts w:ascii="Times New Roman" w:eastAsia="Times New Roman" w:hAnsi="Times New Roman" w:cs="Times New Roman"/>
          <w:color w:val="000000"/>
          <w:sz w:val="24"/>
          <w:szCs w:val="24"/>
          <w:lang w:val="mn-MN"/>
        </w:rPr>
        <w:t xml:space="preserve">Бодлогын хэрэгжилт, түүний уялдаа холбоо, </w:t>
      </w:r>
    </w:p>
    <w:p w14:paraId="6BECA0D0" w14:textId="77777777" w:rsidR="00EE16ED" w:rsidRPr="00443D94" w:rsidRDefault="00EE16ED" w:rsidP="008049E2">
      <w:pPr>
        <w:pStyle w:val="ListParagraph"/>
        <w:numPr>
          <w:ilvl w:val="0"/>
          <w:numId w:val="34"/>
        </w:numPr>
        <w:spacing w:after="0" w:line="240" w:lineRule="auto"/>
        <w:jc w:val="both"/>
        <w:rPr>
          <w:rFonts w:ascii="Times New Roman" w:eastAsia="Times New Roman" w:hAnsi="Times New Roman" w:cs="Times New Roman"/>
          <w:color w:val="000000"/>
          <w:sz w:val="24"/>
          <w:szCs w:val="24"/>
          <w:lang w:val="mn-MN"/>
        </w:rPr>
      </w:pPr>
      <w:r w:rsidRPr="00443D94">
        <w:rPr>
          <w:rFonts w:ascii="Times New Roman" w:eastAsia="Times New Roman" w:hAnsi="Times New Roman" w:cs="Times New Roman"/>
          <w:color w:val="000000"/>
          <w:sz w:val="24"/>
          <w:szCs w:val="24"/>
          <w:lang w:val="mn-MN"/>
        </w:rPr>
        <w:t>Ардчилал, хүний эрхийн бэхжилт</w:t>
      </w:r>
    </w:p>
    <w:p w14:paraId="6FE23030" w14:textId="77777777" w:rsidR="00EE16ED" w:rsidRPr="00443D94" w:rsidRDefault="00EE16ED" w:rsidP="008049E2">
      <w:pPr>
        <w:pStyle w:val="ListParagraph"/>
        <w:numPr>
          <w:ilvl w:val="0"/>
          <w:numId w:val="34"/>
        </w:numPr>
        <w:spacing w:after="0" w:line="240" w:lineRule="auto"/>
        <w:jc w:val="both"/>
        <w:rPr>
          <w:rFonts w:ascii="Times New Roman" w:eastAsia="Times New Roman" w:hAnsi="Times New Roman" w:cs="Times New Roman"/>
          <w:color w:val="000000"/>
          <w:sz w:val="24"/>
          <w:szCs w:val="24"/>
          <w:lang w:val="mn-MN"/>
        </w:rPr>
      </w:pPr>
      <w:r w:rsidRPr="00443D94">
        <w:rPr>
          <w:rFonts w:ascii="Times New Roman" w:eastAsia="Times New Roman" w:hAnsi="Times New Roman" w:cs="Times New Roman"/>
          <w:color w:val="000000"/>
          <w:sz w:val="24"/>
          <w:szCs w:val="24"/>
          <w:lang w:val="mn-MN"/>
        </w:rPr>
        <w:t>Дэд бүтцийн хөгжил</w:t>
      </w:r>
    </w:p>
    <w:p w14:paraId="535F9F8A" w14:textId="77777777" w:rsidR="00EE16ED" w:rsidRPr="00443D94" w:rsidRDefault="00EE16ED" w:rsidP="008049E2">
      <w:pPr>
        <w:pStyle w:val="ListParagraph"/>
        <w:numPr>
          <w:ilvl w:val="0"/>
          <w:numId w:val="34"/>
        </w:numPr>
        <w:spacing w:after="0" w:line="240" w:lineRule="auto"/>
        <w:jc w:val="both"/>
        <w:rPr>
          <w:rFonts w:ascii="Times New Roman" w:eastAsia="Times New Roman" w:hAnsi="Times New Roman" w:cs="Times New Roman"/>
          <w:color w:val="000000"/>
          <w:sz w:val="24"/>
          <w:szCs w:val="24"/>
          <w:lang w:val="mn-MN"/>
        </w:rPr>
      </w:pPr>
      <w:r w:rsidRPr="00443D94">
        <w:rPr>
          <w:rFonts w:ascii="Times New Roman" w:eastAsia="Times New Roman" w:hAnsi="Times New Roman" w:cs="Times New Roman"/>
          <w:color w:val="000000"/>
          <w:sz w:val="24"/>
          <w:szCs w:val="24"/>
          <w:lang w:val="mn-MN"/>
        </w:rPr>
        <w:t>Төсвийн зарцуулалт</w:t>
      </w:r>
    </w:p>
    <w:p w14:paraId="167865F3" w14:textId="77777777" w:rsidR="00EE16ED" w:rsidRPr="00443D94" w:rsidRDefault="00EE16ED" w:rsidP="008049E2">
      <w:pPr>
        <w:pStyle w:val="ListParagraph"/>
        <w:numPr>
          <w:ilvl w:val="0"/>
          <w:numId w:val="34"/>
        </w:numPr>
        <w:spacing w:after="0" w:line="240" w:lineRule="auto"/>
        <w:jc w:val="both"/>
        <w:rPr>
          <w:rFonts w:ascii="Times New Roman" w:eastAsia="Times New Roman" w:hAnsi="Times New Roman" w:cs="Times New Roman"/>
          <w:color w:val="000000"/>
          <w:sz w:val="24"/>
          <w:szCs w:val="24"/>
          <w:lang w:val="mn-MN"/>
        </w:rPr>
      </w:pPr>
      <w:r w:rsidRPr="00443D94">
        <w:rPr>
          <w:rFonts w:ascii="Times New Roman" w:eastAsia="Times New Roman" w:hAnsi="Times New Roman" w:cs="Times New Roman"/>
          <w:color w:val="000000"/>
          <w:sz w:val="24"/>
          <w:szCs w:val="24"/>
          <w:lang w:val="mn-MN"/>
        </w:rPr>
        <w:t>Ил тод байдал</w:t>
      </w:r>
    </w:p>
    <w:p w14:paraId="23EBD593" w14:textId="77777777" w:rsidR="00EE16ED" w:rsidRPr="00443D94" w:rsidRDefault="00EE16ED" w:rsidP="008049E2">
      <w:pPr>
        <w:pStyle w:val="ListParagraph"/>
        <w:numPr>
          <w:ilvl w:val="0"/>
          <w:numId w:val="34"/>
        </w:numPr>
        <w:spacing w:after="0" w:line="240" w:lineRule="auto"/>
        <w:jc w:val="both"/>
        <w:rPr>
          <w:rFonts w:ascii="Times New Roman" w:eastAsia="Times New Roman" w:hAnsi="Times New Roman" w:cs="Times New Roman"/>
          <w:color w:val="000000"/>
          <w:sz w:val="24"/>
          <w:szCs w:val="24"/>
          <w:lang w:val="mn-MN"/>
        </w:rPr>
      </w:pPr>
      <w:r w:rsidRPr="00443D94">
        <w:rPr>
          <w:rFonts w:ascii="Times New Roman" w:eastAsia="Times New Roman" w:hAnsi="Times New Roman" w:cs="Times New Roman"/>
          <w:color w:val="000000"/>
          <w:sz w:val="24"/>
          <w:szCs w:val="24"/>
          <w:lang w:val="mn-MN"/>
        </w:rPr>
        <w:t>Иргэдийн сэтгэл ханамж</w:t>
      </w:r>
    </w:p>
    <w:p w14:paraId="296D2805" w14:textId="77777777" w:rsidR="00EE16ED" w:rsidRPr="00443D94" w:rsidRDefault="00EE16ED" w:rsidP="008049E2">
      <w:pPr>
        <w:pStyle w:val="ListParagraph"/>
        <w:numPr>
          <w:ilvl w:val="0"/>
          <w:numId w:val="34"/>
        </w:numPr>
        <w:spacing w:after="0" w:line="240" w:lineRule="auto"/>
        <w:jc w:val="both"/>
        <w:rPr>
          <w:rFonts w:ascii="Times New Roman" w:eastAsia="Times New Roman" w:hAnsi="Times New Roman" w:cs="Times New Roman"/>
          <w:color w:val="000000"/>
          <w:sz w:val="24"/>
          <w:szCs w:val="24"/>
          <w:lang w:val="mn-MN"/>
        </w:rPr>
      </w:pPr>
      <w:r w:rsidRPr="00443D94">
        <w:rPr>
          <w:rFonts w:ascii="Times New Roman" w:eastAsia="Times New Roman" w:hAnsi="Times New Roman" w:cs="Times New Roman"/>
          <w:color w:val="000000"/>
          <w:sz w:val="24"/>
          <w:szCs w:val="24"/>
          <w:lang w:val="mn-MN"/>
        </w:rPr>
        <w:t>Төрийн үйлчилгээний чанар, хүртээмж зэрэг асуудлууд байна.</w:t>
      </w:r>
    </w:p>
    <w:p w14:paraId="5F0C2BDC" w14:textId="77777777" w:rsidR="00B81E3E" w:rsidRPr="00443D94" w:rsidRDefault="00B81E3E" w:rsidP="008049E2">
      <w:pPr>
        <w:spacing w:line="240" w:lineRule="auto"/>
        <w:rPr>
          <w:rFonts w:ascii="Times New Roman" w:hAnsi="Times New Roman"/>
          <w:b/>
          <w:bCs/>
          <w:sz w:val="24"/>
          <w:lang w:val="mn-MN"/>
        </w:rPr>
      </w:pPr>
    </w:p>
    <w:p w14:paraId="5BA50375" w14:textId="1218DE13"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Дүгнэлт</w:t>
      </w:r>
    </w:p>
    <w:p w14:paraId="790ABB8B" w14:textId="77777777" w:rsidR="00B81E3E" w:rsidRPr="00443D94" w:rsidRDefault="00B81E3E" w:rsidP="008049E2">
      <w:pPr>
        <w:pStyle w:val="NormalWeb"/>
        <w:spacing w:line="240" w:lineRule="auto"/>
        <w:jc w:val="both"/>
        <w:rPr>
          <w:color w:val="000000"/>
          <w:lang w:val="mn-MN"/>
        </w:rPr>
      </w:pPr>
    </w:p>
    <w:p w14:paraId="7162CB98" w14:textId="77777777" w:rsidR="00B81E3E" w:rsidRPr="00443D94" w:rsidRDefault="00EE16ED" w:rsidP="008049E2">
      <w:pPr>
        <w:pStyle w:val="NormalWeb"/>
        <w:spacing w:line="240" w:lineRule="auto"/>
        <w:jc w:val="both"/>
        <w:rPr>
          <w:color w:val="000000"/>
          <w:lang w:val="mn-MN"/>
        </w:rPr>
      </w:pPr>
      <w:r w:rsidRPr="00443D94">
        <w:rPr>
          <w:color w:val="000000"/>
          <w:lang w:val="mn-MN"/>
        </w:rPr>
        <w:t>Засгийн газрын үйл ажиллагааны үнэлгээ нь улс орнуудын улс төрийн тогтвортой байдал, эдийн засгийн хөгжлийг тодорхойлоход чухал үүрэг гүйцэтгэдэг. Судалгааны үр дүнгээс харахад, олон улсын байгууллагуудын боловсруулсан үнэлгээний аргачлалууд нь үндсэндээ төрийн үйлчилгээний чанар, хууль сахиулах чадвар, авлигын түвшин, засаглалын хариуцлагын тогтолцоо зэрэг олон хүчин зүйлсийг харгалзан үздэг. Гэвч эдгээр аргачлалууд нь улс орны тусгай нөхцөл байдал, соёл, улс төрийн түүхийг бүрэн авч үздэггүй.</w:t>
      </w:r>
    </w:p>
    <w:p w14:paraId="7FD44FD7" w14:textId="758B059A" w:rsidR="00EE16ED" w:rsidRPr="00443D94" w:rsidRDefault="00EE16ED" w:rsidP="008049E2">
      <w:pPr>
        <w:pStyle w:val="NormalWeb"/>
        <w:spacing w:line="240" w:lineRule="auto"/>
        <w:ind w:firstLine="720"/>
        <w:jc w:val="both"/>
        <w:rPr>
          <w:color w:val="000000"/>
          <w:lang w:val="mn-MN"/>
        </w:rPr>
      </w:pPr>
      <w:r w:rsidRPr="00443D94">
        <w:rPr>
          <w:color w:val="000000"/>
          <w:lang w:val="mn-MN"/>
        </w:rPr>
        <w:t>Монгол Улсын хувьд Засгийн газрын үйл ажиллагааны гүйцэтгэлийг үнэлэх нэгдсэн аргачлал, үнэлгээний тогтолцоо дутмаг байна. Үндэсний Аудитын газар, Засгийн газрын бодлогын хэрэгжилт, төсвийн зарцуулалт болон авлигын хяналт зэрэг чиглэлээр үнэлгээ хийж буй ч энэ нь төдийлөн үр дүнтэй, нэгдмэл аргачлалд үндэслээгүй байна. Засгийн газрын үйл ажиллагааг үнэлэх асуудал нь зөвхөн эдийн засгийн үзүүлэлтээр хязгаарлагдах ёсгүй бөгөөд, нийгмийн болон улс төрийн хүчин зүйлс, иргэдийн сэтгэл зүй, ардчиллын бэхжилт, төсвийн зарцуулалт, дэд бүтцийн хөгжил, хууль, бодлогын хэрэгжилт зэрэг олон улсад ашиглагдаж буй индекс, үнэлгээний аргачлалуудад нийтлэг байдаг шалгууруудыг харгалзан үзэх шаардлагатай юм. Ингэснээр засгийн газрын гүйцэтгэлийг бодит байдалд нийцүүлэн үнэлж, сонгогчид сонгуулиар шийдвэр гаргахад тодорхой чиглэл болох ач холбогдолтой юм.</w:t>
      </w:r>
    </w:p>
    <w:p w14:paraId="3C7C5739" w14:textId="6E5C43EC" w:rsidR="00EE16ED" w:rsidRPr="00443D94" w:rsidRDefault="00EE16ED" w:rsidP="008049E2">
      <w:pPr>
        <w:pStyle w:val="NormalWeb"/>
        <w:spacing w:line="240" w:lineRule="auto"/>
        <w:ind w:firstLine="720"/>
        <w:jc w:val="both"/>
        <w:rPr>
          <w:color w:val="000000"/>
          <w:lang w:val="mn-MN"/>
        </w:rPr>
      </w:pPr>
    </w:p>
    <w:sdt>
      <w:sdtPr>
        <w:rPr>
          <w:rFonts w:ascii="Times New Roman" w:eastAsiaTheme="minorHAnsi" w:hAnsi="Times New Roman"/>
          <w:b w:val="0"/>
          <w:bCs/>
          <w:sz w:val="24"/>
          <w:szCs w:val="24"/>
          <w:lang w:val="mn-MN"/>
        </w:rPr>
        <w:id w:val="611867910"/>
        <w:docPartObj>
          <w:docPartGallery w:val="Bibliographies"/>
          <w:docPartUnique/>
        </w:docPartObj>
      </w:sdtPr>
      <w:sdtEndPr>
        <w:rPr>
          <w:rFonts w:eastAsia="MS Mincho"/>
          <w:bCs w:val="0"/>
        </w:rPr>
      </w:sdtEndPr>
      <w:sdtContent>
        <w:p w14:paraId="092B0A1D" w14:textId="26C3824E" w:rsidR="00EE16ED" w:rsidRPr="00443D94" w:rsidRDefault="00EE16ED" w:rsidP="008049E2">
          <w:pPr>
            <w:pStyle w:val="Heading1"/>
            <w:numPr>
              <w:ilvl w:val="0"/>
              <w:numId w:val="0"/>
            </w:numPr>
            <w:spacing w:before="0" w:after="0" w:line="240" w:lineRule="auto"/>
            <w:rPr>
              <w:rFonts w:ascii="Times New Roman" w:hAnsi="Times New Roman"/>
              <w:bCs/>
              <w:sz w:val="24"/>
              <w:szCs w:val="24"/>
              <w:lang w:val="mn-MN"/>
            </w:rPr>
          </w:pPr>
          <w:r w:rsidRPr="00443D94">
            <w:rPr>
              <w:rFonts w:ascii="Times New Roman" w:hAnsi="Times New Roman"/>
              <w:bCs/>
              <w:sz w:val="24"/>
              <w:szCs w:val="24"/>
              <w:lang w:val="mn-MN"/>
            </w:rPr>
            <w:t>Ном зүй</w:t>
          </w:r>
        </w:p>
        <w:p w14:paraId="356AAC80" w14:textId="77777777" w:rsidR="00B81E3E" w:rsidRPr="00443D94" w:rsidRDefault="00B81E3E" w:rsidP="008049E2">
          <w:pPr>
            <w:spacing w:line="240" w:lineRule="auto"/>
            <w:rPr>
              <w:lang w:val="mn-MN"/>
            </w:rPr>
          </w:pPr>
        </w:p>
        <w:p w14:paraId="532FBD4C"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Robert Hall, C. J. (1999). Why Do Some Countries Produce So Much More Output Per Worker Than Others? </w:t>
          </w:r>
          <w:r w:rsidRPr="00443D94">
            <w:rPr>
              <w:rFonts w:ascii="Times New Roman" w:hAnsi="Times New Roman"/>
              <w:i/>
              <w:iCs/>
              <w:noProof/>
              <w:sz w:val="24"/>
              <w:lang w:val="mn-MN"/>
            </w:rPr>
            <w:t>The Quarterly Journal of Economics</w:t>
          </w:r>
          <w:r w:rsidRPr="00443D94">
            <w:rPr>
              <w:rFonts w:ascii="Times New Roman" w:hAnsi="Times New Roman"/>
              <w:noProof/>
              <w:sz w:val="24"/>
              <w:lang w:val="mn-MN"/>
            </w:rPr>
            <w:t>, 83-116.</w:t>
          </w:r>
        </w:p>
        <w:p w14:paraId="697DE061"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Ramanna, K. (2024 оны December 3). </w:t>
          </w:r>
          <w:r w:rsidRPr="00443D94">
            <w:rPr>
              <w:rFonts w:ascii="Times New Roman" w:hAnsi="Times New Roman"/>
              <w:i/>
              <w:iCs/>
              <w:noProof/>
              <w:sz w:val="24"/>
              <w:lang w:val="mn-MN"/>
            </w:rPr>
            <w:t>Harvard Business Review</w:t>
          </w:r>
          <w:r w:rsidRPr="00443D94">
            <w:rPr>
              <w:rFonts w:ascii="Times New Roman" w:hAnsi="Times New Roman"/>
              <w:noProof/>
              <w:sz w:val="24"/>
              <w:lang w:val="mn-MN"/>
            </w:rPr>
            <w:t>. https://hbr.org/2024/12/governments-should-be-effective-not-efficient-ээс Гаргасан</w:t>
          </w:r>
        </w:p>
        <w:p w14:paraId="1D15C5ED"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Audrey Sacks, M. L. (2010 оны July). Measuring Government Effectiveness and Its Consequences for Social Welfare in Sub-Saharan African Countries. </w:t>
          </w:r>
          <w:r w:rsidRPr="00443D94">
            <w:rPr>
              <w:rFonts w:ascii="Times New Roman" w:hAnsi="Times New Roman"/>
              <w:i/>
              <w:iCs/>
              <w:noProof/>
              <w:sz w:val="24"/>
              <w:lang w:val="mn-MN"/>
            </w:rPr>
            <w:t>Social Forces, 88</w:t>
          </w:r>
          <w:r w:rsidRPr="00443D94">
            <w:rPr>
              <w:rFonts w:ascii="Times New Roman" w:hAnsi="Times New Roman"/>
              <w:noProof/>
              <w:sz w:val="24"/>
              <w:lang w:val="mn-MN"/>
            </w:rPr>
            <w:t>(5), 2325-2351.</w:t>
          </w:r>
        </w:p>
        <w:p w14:paraId="6756E305"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lastRenderedPageBreak/>
            <w:t xml:space="preserve">Toke Aidt, J. D. (2008). Governance regimes, corruption and growth: Theory and evidence. </w:t>
          </w:r>
          <w:r w:rsidRPr="00443D94">
            <w:rPr>
              <w:rFonts w:ascii="Times New Roman" w:hAnsi="Times New Roman"/>
              <w:i/>
              <w:iCs/>
              <w:noProof/>
              <w:sz w:val="24"/>
              <w:lang w:val="mn-MN"/>
            </w:rPr>
            <w:t>Journal of Comparative Economics, 36</w:t>
          </w:r>
          <w:r w:rsidRPr="00443D94">
            <w:rPr>
              <w:rFonts w:ascii="Times New Roman" w:hAnsi="Times New Roman"/>
              <w:noProof/>
              <w:sz w:val="24"/>
              <w:lang w:val="mn-MN"/>
            </w:rPr>
            <w:t>(2), 195-220.</w:t>
          </w:r>
        </w:p>
        <w:p w14:paraId="0B50336D"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John, K. (2001). Big Questions for a Significant Public Administration. </w:t>
          </w:r>
          <w:r w:rsidRPr="00443D94">
            <w:rPr>
              <w:rFonts w:ascii="Times New Roman" w:hAnsi="Times New Roman"/>
              <w:i/>
              <w:iCs/>
              <w:noProof/>
              <w:sz w:val="24"/>
              <w:lang w:val="mn-MN"/>
            </w:rPr>
            <w:t>Public Administration Review, 61</w:t>
          </w:r>
          <w:r w:rsidRPr="00443D94">
            <w:rPr>
              <w:rFonts w:ascii="Times New Roman" w:hAnsi="Times New Roman"/>
              <w:noProof/>
              <w:sz w:val="24"/>
              <w:lang w:val="mn-MN"/>
            </w:rPr>
            <w:t>(2), 140-143.</w:t>
          </w:r>
        </w:p>
        <w:p w14:paraId="1ED192B3"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Hal, R. (2003). </w:t>
          </w:r>
          <w:r w:rsidRPr="00443D94">
            <w:rPr>
              <w:rFonts w:ascii="Times New Roman" w:hAnsi="Times New Roman"/>
              <w:i/>
              <w:iCs/>
              <w:noProof/>
              <w:sz w:val="24"/>
              <w:lang w:val="mn-MN"/>
            </w:rPr>
            <w:t>Understanding and Managing Public Organizations.</w:t>
          </w:r>
          <w:r w:rsidRPr="00443D94">
            <w:rPr>
              <w:rFonts w:ascii="Times New Roman" w:hAnsi="Times New Roman"/>
              <w:noProof/>
              <w:sz w:val="24"/>
              <w:lang w:val="mn-MN"/>
            </w:rPr>
            <w:t xml:space="preserve"> San Francisco: Jossey-Bass.</w:t>
          </w:r>
        </w:p>
        <w:p w14:paraId="68F5960C"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Andrew R, B. G. (2005). Representative Bureaucracy, Organizational Strategy and Public Service Performance: An Empirical Analysis of English Local Government. </w:t>
          </w:r>
          <w:r w:rsidRPr="00443D94">
            <w:rPr>
              <w:rFonts w:ascii="Times New Roman" w:hAnsi="Times New Roman"/>
              <w:i/>
              <w:iCs/>
              <w:noProof/>
              <w:sz w:val="24"/>
              <w:lang w:val="mn-MN"/>
            </w:rPr>
            <w:t>Journal of Public Administration Research and Theory, 15</w:t>
          </w:r>
          <w:r w:rsidRPr="00443D94">
            <w:rPr>
              <w:rFonts w:ascii="Times New Roman" w:hAnsi="Times New Roman"/>
              <w:noProof/>
              <w:sz w:val="24"/>
              <w:lang w:val="mn-MN"/>
            </w:rPr>
            <w:t>(4), 489-504.</w:t>
          </w:r>
        </w:p>
        <w:p w14:paraId="308A2CF7"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Robert, P. (1993). </w:t>
          </w:r>
          <w:r w:rsidRPr="00443D94">
            <w:rPr>
              <w:rFonts w:ascii="Times New Roman" w:hAnsi="Times New Roman"/>
              <w:i/>
              <w:iCs/>
              <w:noProof/>
              <w:sz w:val="24"/>
              <w:lang w:val="mn-MN"/>
            </w:rPr>
            <w:t>Making Democracy Work.</w:t>
          </w:r>
          <w:r w:rsidRPr="00443D94">
            <w:rPr>
              <w:rFonts w:ascii="Times New Roman" w:hAnsi="Times New Roman"/>
              <w:noProof/>
              <w:sz w:val="24"/>
              <w:lang w:val="mn-MN"/>
            </w:rPr>
            <w:t xml:space="preserve"> Princeton: Princeton University.</w:t>
          </w:r>
        </w:p>
        <w:p w14:paraId="3FEBDB12"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Yang Kaifeng, H. M. (2006). The Performance- Trust Link: Implications for Performance Measurement. </w:t>
          </w:r>
          <w:r w:rsidRPr="00443D94">
            <w:rPr>
              <w:rFonts w:ascii="Times New Roman" w:hAnsi="Times New Roman"/>
              <w:i/>
              <w:iCs/>
              <w:noProof/>
              <w:sz w:val="24"/>
              <w:lang w:val="mn-MN"/>
            </w:rPr>
            <w:t>Public Administration Review, 66</w:t>
          </w:r>
          <w:r w:rsidRPr="00443D94">
            <w:rPr>
              <w:rFonts w:ascii="Times New Roman" w:hAnsi="Times New Roman"/>
              <w:noProof/>
              <w:sz w:val="24"/>
              <w:lang w:val="mn-MN"/>
            </w:rPr>
            <w:t>(1), 114-126.</w:t>
          </w:r>
        </w:p>
        <w:p w14:paraId="56400520"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Machiavelli, N. (1532). </w:t>
          </w:r>
          <w:r w:rsidRPr="00443D94">
            <w:rPr>
              <w:rFonts w:ascii="Times New Roman" w:hAnsi="Times New Roman"/>
              <w:i/>
              <w:iCs/>
              <w:noProof/>
              <w:sz w:val="24"/>
              <w:lang w:val="mn-MN"/>
            </w:rPr>
            <w:t>Prince.</w:t>
          </w:r>
          <w:r w:rsidRPr="00443D94">
            <w:rPr>
              <w:rFonts w:ascii="Times New Roman" w:hAnsi="Times New Roman"/>
              <w:noProof/>
              <w:sz w:val="24"/>
              <w:lang w:val="mn-MN"/>
            </w:rPr>
            <w:t xml:space="preserve"> </w:t>
          </w:r>
        </w:p>
        <w:p w14:paraId="71117051"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Hobbes, T. (1651). </w:t>
          </w:r>
          <w:r w:rsidRPr="00443D94">
            <w:rPr>
              <w:rFonts w:ascii="Times New Roman" w:hAnsi="Times New Roman"/>
              <w:i/>
              <w:iCs/>
              <w:noProof/>
              <w:sz w:val="24"/>
              <w:lang w:val="mn-MN"/>
            </w:rPr>
            <w:t>Leviathan.</w:t>
          </w:r>
          <w:r w:rsidRPr="00443D94">
            <w:rPr>
              <w:rFonts w:ascii="Times New Roman" w:hAnsi="Times New Roman"/>
              <w:noProof/>
              <w:sz w:val="24"/>
              <w:lang w:val="mn-MN"/>
            </w:rPr>
            <w:t xml:space="preserve"> </w:t>
          </w:r>
        </w:p>
        <w:p w14:paraId="450ECF82"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M, B. (2007). Analyzing and Assessing Public Accountability. </w:t>
          </w:r>
          <w:r w:rsidRPr="00443D94">
            <w:rPr>
              <w:rFonts w:ascii="Times New Roman" w:hAnsi="Times New Roman"/>
              <w:i/>
              <w:iCs/>
              <w:noProof/>
              <w:sz w:val="24"/>
              <w:lang w:val="mn-MN"/>
            </w:rPr>
            <w:t>European Law Journal, 13</w:t>
          </w:r>
          <w:r w:rsidRPr="00443D94">
            <w:rPr>
              <w:rFonts w:ascii="Times New Roman" w:hAnsi="Times New Roman"/>
              <w:noProof/>
              <w:sz w:val="24"/>
              <w:lang w:val="mn-MN"/>
            </w:rPr>
            <w:t>(4), 447-468.</w:t>
          </w:r>
        </w:p>
        <w:p w14:paraId="643B8045"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i/>
              <w:iCs/>
              <w:noProof/>
              <w:sz w:val="24"/>
              <w:lang w:val="mn-MN"/>
            </w:rPr>
            <w:t>About The Government Performance Project</w:t>
          </w:r>
          <w:r w:rsidRPr="00443D94">
            <w:rPr>
              <w:rFonts w:ascii="Times New Roman" w:hAnsi="Times New Roman"/>
              <w:noProof/>
              <w:sz w:val="24"/>
              <w:lang w:val="mn-MN"/>
            </w:rPr>
            <w:t>. https://www.govexec.com/magazine/2000/03/about-the-government-performance-project/6316/-ээс Гаргасан</w:t>
          </w:r>
        </w:p>
        <w:p w14:paraId="59B4D34C"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Porcelli, B. L. (2010). </w:t>
          </w:r>
          <w:r w:rsidRPr="00443D94">
            <w:rPr>
              <w:rFonts w:ascii="Times New Roman" w:hAnsi="Times New Roman"/>
              <w:i/>
              <w:iCs/>
              <w:noProof/>
              <w:sz w:val="24"/>
              <w:lang w:val="mn-MN"/>
            </w:rPr>
            <w:t>Assessing Comprehensive Performance Assessment.</w:t>
          </w:r>
          <w:r w:rsidRPr="00443D94">
            <w:rPr>
              <w:rFonts w:ascii="Times New Roman" w:hAnsi="Times New Roman"/>
              <w:noProof/>
              <w:sz w:val="24"/>
              <w:lang w:val="mn-MN"/>
            </w:rPr>
            <w:t xml:space="preserve"> Online.</w:t>
          </w:r>
        </w:p>
        <w:p w14:paraId="091AEA99" w14:textId="77777777" w:rsidR="00EE16ED" w:rsidRPr="00443D94" w:rsidRDefault="00EE16ED" w:rsidP="008049E2">
          <w:pPr>
            <w:pStyle w:val="Bibliography"/>
            <w:numPr>
              <w:ilvl w:val="0"/>
              <w:numId w:val="33"/>
            </w:numPr>
            <w:spacing w:line="240" w:lineRule="auto"/>
            <w:rPr>
              <w:rFonts w:ascii="Times New Roman" w:hAnsi="Times New Roman"/>
              <w:noProof/>
              <w:sz w:val="24"/>
              <w:lang w:val="mn-MN"/>
            </w:rPr>
          </w:pPr>
          <w:r w:rsidRPr="00443D94">
            <w:rPr>
              <w:rFonts w:ascii="Times New Roman" w:hAnsi="Times New Roman"/>
              <w:noProof/>
              <w:sz w:val="24"/>
              <w:lang w:val="mn-MN"/>
            </w:rPr>
            <w:t xml:space="preserve">OECD. (2023). </w:t>
          </w:r>
          <w:r w:rsidRPr="00443D94">
            <w:rPr>
              <w:rFonts w:ascii="Times New Roman" w:hAnsi="Times New Roman"/>
              <w:i/>
              <w:iCs/>
              <w:noProof/>
              <w:sz w:val="24"/>
              <w:lang w:val="mn-MN"/>
            </w:rPr>
            <w:t>Government at a Glance.</w:t>
          </w:r>
          <w:r w:rsidRPr="00443D94">
            <w:rPr>
              <w:rFonts w:ascii="Times New Roman" w:hAnsi="Times New Roman"/>
              <w:noProof/>
              <w:sz w:val="24"/>
              <w:lang w:val="mn-MN"/>
            </w:rPr>
            <w:t xml:space="preserve"> Paris: OECD publishing.</w:t>
          </w:r>
        </w:p>
        <w:p w14:paraId="68A696D8" w14:textId="77777777" w:rsidR="00EE16ED" w:rsidRPr="00443D94" w:rsidRDefault="00000000" w:rsidP="008049E2">
          <w:pPr>
            <w:spacing w:line="240" w:lineRule="auto"/>
            <w:jc w:val="both"/>
            <w:rPr>
              <w:rStyle w:val="Strong"/>
              <w:rFonts w:ascii="Times New Roman" w:hAnsi="Times New Roman"/>
              <w:b w:val="0"/>
              <w:bCs w:val="0"/>
              <w:sz w:val="24"/>
              <w:lang w:val="mn-MN"/>
            </w:rPr>
          </w:pPr>
        </w:p>
      </w:sdtContent>
    </w:sdt>
    <w:p w14:paraId="212A690D" w14:textId="0C6B0C86" w:rsidR="004702E2" w:rsidRPr="00443D94" w:rsidRDefault="004702E2" w:rsidP="004702E2">
      <w:pPr>
        <w:spacing w:line="240" w:lineRule="auto"/>
        <w:jc w:val="center"/>
        <w:rPr>
          <w:rFonts w:ascii="Times New Roman" w:hAnsi="Times New Roman"/>
          <w:b/>
          <w:bCs/>
          <w:sz w:val="24"/>
          <w:lang w:val="mn-MN"/>
        </w:rPr>
      </w:pPr>
      <w:r w:rsidRPr="00443D94">
        <w:rPr>
          <w:rFonts w:ascii="Times New Roman" w:hAnsi="Times New Roman"/>
          <w:b/>
          <w:bCs/>
          <w:sz w:val="24"/>
          <w:lang w:val="mn-MN"/>
        </w:rPr>
        <w:t>THE ISSUE OF EVALUATING GOVERNMENT PERFORMANCE</w:t>
      </w:r>
    </w:p>
    <w:p w14:paraId="3B21F7C1" w14:textId="77777777" w:rsidR="004702E2" w:rsidRPr="00443D94" w:rsidRDefault="004702E2" w:rsidP="008049E2">
      <w:pPr>
        <w:pStyle w:val="NormalWeb"/>
        <w:spacing w:line="240" w:lineRule="auto"/>
        <w:jc w:val="both"/>
        <w:rPr>
          <w:rStyle w:val="Strong"/>
          <w:color w:val="000000"/>
          <w:lang w:val="mn-MN"/>
        </w:rPr>
      </w:pPr>
    </w:p>
    <w:p w14:paraId="34F1285E" w14:textId="3F4AFEE9" w:rsidR="00B81E3E" w:rsidRPr="00443D94" w:rsidRDefault="00B81E3E" w:rsidP="008049E2">
      <w:pPr>
        <w:pStyle w:val="NormalWeb"/>
        <w:spacing w:line="240" w:lineRule="auto"/>
        <w:jc w:val="both"/>
        <w:rPr>
          <w:rStyle w:val="Strong"/>
          <w:color w:val="000000"/>
          <w:lang w:val="mn-MN"/>
        </w:rPr>
      </w:pPr>
      <w:r w:rsidRPr="00443D94">
        <w:rPr>
          <w:rStyle w:val="Strong"/>
          <w:color w:val="000000"/>
          <w:lang w:val="mn-MN"/>
        </w:rPr>
        <w:t xml:space="preserve">Abstract </w:t>
      </w:r>
    </w:p>
    <w:p w14:paraId="64989623" w14:textId="77777777" w:rsidR="00B81E3E" w:rsidRPr="00443D94" w:rsidRDefault="00B81E3E" w:rsidP="008049E2">
      <w:pPr>
        <w:pStyle w:val="NormalWeb"/>
        <w:spacing w:line="240" w:lineRule="auto"/>
        <w:jc w:val="both"/>
        <w:rPr>
          <w:rStyle w:val="Strong"/>
          <w:color w:val="000000"/>
          <w:lang w:val="mn-MN"/>
        </w:rPr>
      </w:pPr>
    </w:p>
    <w:p w14:paraId="58686CE3" w14:textId="22A665B5" w:rsidR="00B81E3E" w:rsidRPr="00443D94" w:rsidRDefault="00B81E3E" w:rsidP="008049E2">
      <w:pPr>
        <w:pStyle w:val="NormalWeb"/>
        <w:spacing w:line="240" w:lineRule="auto"/>
        <w:jc w:val="both"/>
        <w:rPr>
          <w:b/>
          <w:bCs/>
          <w:color w:val="000000"/>
          <w:lang w:val="mn-MN"/>
        </w:rPr>
      </w:pPr>
      <w:r w:rsidRPr="00443D94">
        <w:rPr>
          <w:color w:val="000000"/>
          <w:lang w:val="mn-MN"/>
        </w:rPr>
        <w:t>Evaluating government performance is a crucial indicator for objectively assessing a country's current state of development. Nations employ various methods to evaluate the effectiveness of their governments. International organizations such as the World Bank, the United Nations, and Transparency International evaluate countries based on such as corruption, human rights, and competitiveness. While assessment systems differ across countries, common indicators include budget expenditures, policy implementation, infrastructure development, economic progress, democratic governance, human rights protection, transparency, and citizen satisfaction. Therefore, applying these widely recognized criteria to assess government performance in our country can enhance the effectiveness of public administration, promote transparency and accountability, and provide voters with a well-founded basis for evaluation.</w:t>
      </w:r>
    </w:p>
    <w:p w14:paraId="131C5F65" w14:textId="77777777" w:rsidR="00B81E3E" w:rsidRPr="00443D94" w:rsidRDefault="00B81E3E" w:rsidP="008049E2">
      <w:pPr>
        <w:spacing w:line="240" w:lineRule="auto"/>
        <w:jc w:val="both"/>
        <w:rPr>
          <w:rFonts w:ascii="Times New Roman" w:hAnsi="Times New Roman"/>
          <w:b/>
          <w:bCs/>
          <w:i/>
          <w:iCs/>
          <w:color w:val="000000"/>
          <w:sz w:val="24"/>
          <w:lang w:val="mn-MN"/>
        </w:rPr>
      </w:pPr>
    </w:p>
    <w:p w14:paraId="0D943B3A" w14:textId="52585303" w:rsidR="004702E2" w:rsidRPr="00443D94" w:rsidRDefault="00B81E3E" w:rsidP="008049E2">
      <w:pPr>
        <w:spacing w:line="240" w:lineRule="auto"/>
        <w:jc w:val="both"/>
        <w:rPr>
          <w:rFonts w:ascii="Times New Roman" w:hAnsi="Times New Roman"/>
          <w:color w:val="000000"/>
          <w:sz w:val="24"/>
          <w:lang w:val="mn-MN"/>
        </w:rPr>
      </w:pPr>
      <w:r w:rsidRPr="00443D94">
        <w:rPr>
          <w:rFonts w:ascii="Times New Roman" w:hAnsi="Times New Roman"/>
          <w:b/>
          <w:bCs/>
          <w:color w:val="000000"/>
          <w:sz w:val="24"/>
          <w:lang w:val="mn-MN"/>
        </w:rPr>
        <w:t>Keywords:</w:t>
      </w:r>
      <w:r w:rsidRPr="00443D94">
        <w:rPr>
          <w:rFonts w:ascii="Times New Roman" w:hAnsi="Times New Roman"/>
          <w:color w:val="000000"/>
          <w:sz w:val="24"/>
          <w:lang w:val="mn-MN"/>
        </w:rPr>
        <w:t xml:space="preserve"> Government performance, </w:t>
      </w:r>
      <w:r w:rsidR="00CE2E99" w:rsidRPr="00443D94">
        <w:rPr>
          <w:rFonts w:ascii="Times New Roman" w:hAnsi="Times New Roman"/>
          <w:color w:val="000000"/>
          <w:sz w:val="24"/>
          <w:lang w:val="mn-MN"/>
        </w:rPr>
        <w:t>e</w:t>
      </w:r>
      <w:r w:rsidRPr="00443D94">
        <w:rPr>
          <w:rFonts w:ascii="Times New Roman" w:hAnsi="Times New Roman"/>
          <w:color w:val="000000"/>
          <w:sz w:val="24"/>
          <w:lang w:val="mn-MN"/>
        </w:rPr>
        <w:t xml:space="preserve">valuation, </w:t>
      </w:r>
      <w:r w:rsidR="00CE2E99" w:rsidRPr="00443D94">
        <w:rPr>
          <w:rFonts w:ascii="Times New Roman" w:hAnsi="Times New Roman"/>
          <w:color w:val="000000"/>
          <w:sz w:val="24"/>
          <w:lang w:val="mn-MN"/>
        </w:rPr>
        <w:t>a</w:t>
      </w:r>
      <w:r w:rsidRPr="00443D94">
        <w:rPr>
          <w:rFonts w:ascii="Times New Roman" w:hAnsi="Times New Roman"/>
          <w:color w:val="000000"/>
          <w:sz w:val="24"/>
          <w:lang w:val="mn-MN"/>
        </w:rPr>
        <w:t xml:space="preserve">ccountable governance, </w:t>
      </w:r>
      <w:r w:rsidR="00CE2E99" w:rsidRPr="00443D94">
        <w:rPr>
          <w:rFonts w:ascii="Times New Roman" w:hAnsi="Times New Roman"/>
          <w:color w:val="000000"/>
          <w:sz w:val="24"/>
          <w:lang w:val="mn-MN"/>
        </w:rPr>
        <w:t>e</w:t>
      </w:r>
      <w:r w:rsidRPr="00443D94">
        <w:rPr>
          <w:rFonts w:ascii="Times New Roman" w:hAnsi="Times New Roman"/>
          <w:color w:val="000000"/>
          <w:sz w:val="24"/>
          <w:lang w:val="mn-MN"/>
        </w:rPr>
        <w:t xml:space="preserve">ffectiveness, </w:t>
      </w:r>
    </w:p>
    <w:p w14:paraId="59F5BD33" w14:textId="3180080C" w:rsidR="00EE16ED" w:rsidRPr="00443D94" w:rsidRDefault="00CE2E99" w:rsidP="008049E2">
      <w:pPr>
        <w:spacing w:line="240" w:lineRule="auto"/>
        <w:jc w:val="both"/>
        <w:rPr>
          <w:rFonts w:ascii="Times New Roman" w:hAnsi="Times New Roman"/>
          <w:color w:val="000000" w:themeColor="text1"/>
          <w:sz w:val="24"/>
          <w:shd w:val="clear" w:color="auto" w:fill="FFFFFF"/>
          <w:lang w:val="mn-MN"/>
        </w:rPr>
      </w:pPr>
      <w:r w:rsidRPr="00443D94">
        <w:rPr>
          <w:rFonts w:ascii="Times New Roman" w:hAnsi="Times New Roman"/>
          <w:color w:val="000000"/>
          <w:sz w:val="24"/>
          <w:lang w:val="mn-MN"/>
        </w:rPr>
        <w:t>d</w:t>
      </w:r>
      <w:r w:rsidR="00B81E3E" w:rsidRPr="00443D94">
        <w:rPr>
          <w:rFonts w:ascii="Times New Roman" w:hAnsi="Times New Roman"/>
          <w:color w:val="000000"/>
          <w:sz w:val="24"/>
          <w:lang w:val="mn-MN"/>
        </w:rPr>
        <w:t>emocracy</w:t>
      </w:r>
    </w:p>
    <w:p w14:paraId="43683A79" w14:textId="77777777" w:rsidR="00EE16ED" w:rsidRPr="00443D94" w:rsidRDefault="00EE16ED" w:rsidP="008049E2">
      <w:pPr>
        <w:spacing w:line="240" w:lineRule="auto"/>
        <w:rPr>
          <w:rFonts w:ascii="Times New Roman" w:hAnsi="Times New Roman"/>
          <w:sz w:val="24"/>
          <w:lang w:val="mn-MN"/>
        </w:rPr>
      </w:pPr>
    </w:p>
    <w:p w14:paraId="109811D8" w14:textId="77777777" w:rsidR="00EE16ED" w:rsidRPr="00443D94" w:rsidRDefault="00EE16ED" w:rsidP="008049E2">
      <w:pPr>
        <w:spacing w:line="240" w:lineRule="auto"/>
        <w:rPr>
          <w:rFonts w:ascii="Times New Roman" w:hAnsi="Times New Roman"/>
          <w:sz w:val="24"/>
          <w:lang w:val="mn-MN"/>
        </w:rPr>
      </w:pPr>
    </w:p>
    <w:p w14:paraId="34F155CC" w14:textId="77777777" w:rsidR="00EE16ED" w:rsidRPr="00443D94" w:rsidRDefault="00EE16ED" w:rsidP="008049E2">
      <w:pPr>
        <w:spacing w:line="240" w:lineRule="auto"/>
        <w:rPr>
          <w:rFonts w:ascii="Times New Roman" w:hAnsi="Times New Roman"/>
          <w:sz w:val="24"/>
          <w:lang w:val="mn-MN"/>
        </w:rPr>
      </w:pPr>
    </w:p>
    <w:p w14:paraId="29755425" w14:textId="77777777" w:rsidR="00EE16ED" w:rsidRPr="00443D94" w:rsidRDefault="00EE16ED" w:rsidP="008049E2">
      <w:pPr>
        <w:spacing w:line="240" w:lineRule="auto"/>
        <w:rPr>
          <w:rFonts w:ascii="Times New Roman" w:hAnsi="Times New Roman"/>
          <w:sz w:val="24"/>
          <w:lang w:val="mn-MN"/>
        </w:rPr>
      </w:pPr>
    </w:p>
    <w:p w14:paraId="1529CB89" w14:textId="77777777" w:rsidR="00EE16ED" w:rsidRPr="00443D94" w:rsidRDefault="00EE16ED" w:rsidP="008049E2">
      <w:pPr>
        <w:spacing w:line="240" w:lineRule="auto"/>
        <w:rPr>
          <w:rFonts w:ascii="Times New Roman" w:hAnsi="Times New Roman"/>
          <w:sz w:val="24"/>
          <w:lang w:val="mn-MN"/>
        </w:rPr>
      </w:pPr>
    </w:p>
    <w:p w14:paraId="7F72142B" w14:textId="77777777" w:rsidR="00EE16ED" w:rsidRPr="00443D94" w:rsidRDefault="00EE16ED" w:rsidP="008049E2">
      <w:pPr>
        <w:spacing w:line="240" w:lineRule="auto"/>
        <w:rPr>
          <w:rFonts w:ascii="Times New Roman" w:hAnsi="Times New Roman"/>
          <w:sz w:val="24"/>
          <w:lang w:val="mn-MN"/>
        </w:rPr>
      </w:pPr>
    </w:p>
    <w:p w14:paraId="567CA7D0" w14:textId="77777777" w:rsidR="00EE16ED" w:rsidRPr="00443D94" w:rsidRDefault="00EE16ED" w:rsidP="008049E2">
      <w:pPr>
        <w:spacing w:line="240" w:lineRule="auto"/>
        <w:rPr>
          <w:rFonts w:ascii="Times New Roman" w:hAnsi="Times New Roman"/>
          <w:sz w:val="24"/>
          <w:lang w:val="mn-MN"/>
        </w:rPr>
      </w:pPr>
    </w:p>
    <w:p w14:paraId="073EA983" w14:textId="26845C43" w:rsidR="00EE16ED" w:rsidRPr="00443D94" w:rsidRDefault="00EE16ED" w:rsidP="008049E2">
      <w:pPr>
        <w:spacing w:line="240" w:lineRule="auto"/>
        <w:rPr>
          <w:rFonts w:ascii="Times New Roman" w:hAnsi="Times New Roman"/>
          <w:sz w:val="24"/>
          <w:lang w:val="mn-MN"/>
        </w:rPr>
      </w:pPr>
    </w:p>
    <w:p w14:paraId="3ED44E75" w14:textId="71D2A95B" w:rsidR="00B81E3E" w:rsidRPr="00443D94" w:rsidRDefault="00B81E3E" w:rsidP="008049E2">
      <w:pPr>
        <w:spacing w:line="240" w:lineRule="auto"/>
        <w:rPr>
          <w:rFonts w:ascii="Times New Roman" w:hAnsi="Times New Roman"/>
          <w:sz w:val="24"/>
          <w:lang w:val="mn-MN"/>
        </w:rPr>
      </w:pPr>
    </w:p>
    <w:p w14:paraId="39B7F382" w14:textId="610587FC" w:rsidR="00B81E3E" w:rsidRPr="00443D94" w:rsidRDefault="00B81E3E" w:rsidP="008049E2">
      <w:pPr>
        <w:spacing w:line="240" w:lineRule="auto"/>
        <w:rPr>
          <w:rFonts w:ascii="Times New Roman" w:hAnsi="Times New Roman"/>
          <w:sz w:val="24"/>
          <w:lang w:val="mn-MN"/>
        </w:rPr>
      </w:pPr>
    </w:p>
    <w:p w14:paraId="2C3EAC82" w14:textId="7B6CC885" w:rsidR="00B81E3E" w:rsidRPr="00443D94" w:rsidRDefault="00B81E3E" w:rsidP="008049E2">
      <w:pPr>
        <w:spacing w:line="240" w:lineRule="auto"/>
        <w:rPr>
          <w:rFonts w:ascii="Times New Roman" w:hAnsi="Times New Roman"/>
          <w:sz w:val="24"/>
          <w:lang w:val="mn-MN"/>
        </w:rPr>
      </w:pPr>
    </w:p>
    <w:p w14:paraId="17559998" w14:textId="49F218B0" w:rsidR="00B81E3E" w:rsidRPr="00443D94" w:rsidRDefault="00B81E3E" w:rsidP="008049E2">
      <w:pPr>
        <w:spacing w:line="240" w:lineRule="auto"/>
        <w:rPr>
          <w:rFonts w:ascii="Times New Roman" w:hAnsi="Times New Roman"/>
          <w:sz w:val="24"/>
          <w:lang w:val="mn-MN"/>
        </w:rPr>
      </w:pPr>
    </w:p>
    <w:p w14:paraId="5CEE4438" w14:textId="273D7BB5" w:rsidR="0014457E" w:rsidRPr="009319DE" w:rsidRDefault="0014457E" w:rsidP="009319DE">
      <w:pPr>
        <w:pStyle w:val="Abstract-Head"/>
        <w:spacing w:before="0" w:after="0" w:line="240" w:lineRule="auto"/>
        <w:rPr>
          <w:rFonts w:ascii="Times New Roman" w:hAnsi="Times New Roman"/>
          <w:sz w:val="24"/>
          <w:szCs w:val="24"/>
          <w:lang w:val="mn-MN"/>
        </w:rPr>
      </w:pPr>
    </w:p>
    <w:sectPr w:rsidR="0014457E" w:rsidRPr="009319DE" w:rsidSect="009319DE">
      <w:footerReference w:type="default" r:id="rId10"/>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19F3C" w14:textId="77777777" w:rsidR="00F6129B" w:rsidRDefault="00F6129B">
      <w:r>
        <w:separator/>
      </w:r>
    </w:p>
  </w:endnote>
  <w:endnote w:type="continuationSeparator" w:id="0">
    <w:p w14:paraId="2B126E3B" w14:textId="77777777" w:rsidR="00F6129B" w:rsidRDefault="00F61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Light">
    <w:altName w:val="Times New Roman"/>
    <w:panose1 w:val="020B0403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5EDAE" w14:textId="77777777" w:rsidR="00F6129B" w:rsidRDefault="00F6129B">
      <w:pPr>
        <w:pStyle w:val="Footer"/>
        <w:tabs>
          <w:tab w:val="clear" w:pos="4320"/>
          <w:tab w:val="left" w:pos="4860"/>
        </w:tabs>
        <w:spacing w:line="200" w:lineRule="exact"/>
        <w:rPr>
          <w:u w:val="single" w:color="000000"/>
        </w:rPr>
      </w:pPr>
      <w:r>
        <w:rPr>
          <w:u w:val="single" w:color="000000"/>
        </w:rPr>
        <w:tab/>
      </w:r>
    </w:p>
  </w:footnote>
  <w:footnote w:type="continuationSeparator" w:id="0">
    <w:p w14:paraId="5E62406C" w14:textId="77777777" w:rsidR="00F6129B" w:rsidRDefault="00F6129B">
      <w:pPr>
        <w:pStyle w:val="FootnoteText"/>
        <w:rPr>
          <w:szCs w:val="24"/>
        </w:rPr>
      </w:pPr>
      <w:r>
        <w:continuationSeparator/>
      </w:r>
    </w:p>
  </w:footnote>
  <w:footnote w:type="continuationNotice" w:id="1">
    <w:p w14:paraId="29224665" w14:textId="77777777" w:rsidR="00F6129B" w:rsidRDefault="00F6129B">
      <w:pPr>
        <w:pStyle w:val="Footer"/>
        <w:spacing w:line="14" w:lineRule="exac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45"/>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19DE"/>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1808"/>
    <w:rsid w:val="00F52EDE"/>
    <w:rsid w:val="00F53E1C"/>
    <w:rsid w:val="00F54F66"/>
    <w:rsid w:val="00F55023"/>
    <w:rsid w:val="00F55136"/>
    <w:rsid w:val="00F552E5"/>
    <w:rsid w:val="00F5583B"/>
    <w:rsid w:val="00F60099"/>
    <w:rsid w:val="00F6129B"/>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Props1.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2.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C:\Users\Telmen\Desktop\SEAS Journal\cabios_word_temp\MS Word Template Bioinformatics.dotx</Template>
  <TotalTime>7</TotalTime>
  <Pages>6</Pages>
  <Words>2537</Words>
  <Characters>15937</Characters>
  <Application>Microsoft Office Word</Application>
  <DocSecurity>0</DocSecurity>
  <Lines>270</Lines>
  <Paragraphs>59</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nomine190@gmail.com</cp:lastModifiedBy>
  <cp:revision>3</cp:revision>
  <cp:lastPrinted>2025-05-14T10:04:00Z</cp:lastPrinted>
  <dcterms:created xsi:type="dcterms:W3CDTF">2026-04-18T14:43:00Z</dcterms:created>
  <dcterms:modified xsi:type="dcterms:W3CDTF">2026-04-18T14:56:00Z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