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83588" w14:textId="7D3A94BE" w:rsidR="002A4177" w:rsidRPr="00443D94" w:rsidRDefault="002A4177" w:rsidP="008049E2">
      <w:pPr>
        <w:spacing w:line="240" w:lineRule="auto"/>
        <w:rPr>
          <w:rFonts w:ascii="Times New Roman" w:hAnsi="Times New Roman"/>
          <w:sz w:val="24"/>
          <w:lang w:val="mn-MN"/>
        </w:rPr>
      </w:pPr>
    </w:p>
    <w:p w14:paraId="62E6A0E0" w14:textId="77777777" w:rsidR="002427BB" w:rsidRPr="00443D94" w:rsidRDefault="002427BB" w:rsidP="002427BB">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44B696FA" w14:textId="67A30F7A" w:rsidR="002427BB" w:rsidRPr="00443D94" w:rsidRDefault="002427BB" w:rsidP="002427BB">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126-133 дахь тал</w:t>
      </w:r>
    </w:p>
    <w:p w14:paraId="4B694445" w14:textId="206CDFAA" w:rsidR="002A4177" w:rsidRPr="00443D94" w:rsidRDefault="002A4177" w:rsidP="008049E2">
      <w:pPr>
        <w:spacing w:line="240" w:lineRule="auto"/>
        <w:rPr>
          <w:rFonts w:ascii="Times New Roman" w:hAnsi="Times New Roman"/>
          <w:sz w:val="24"/>
          <w:lang w:val="mn-MN"/>
        </w:rPr>
      </w:pPr>
    </w:p>
    <w:p w14:paraId="3B9EB61D" w14:textId="77777777" w:rsidR="002427BB" w:rsidRPr="00443D94" w:rsidRDefault="002427BB" w:rsidP="008049E2">
      <w:pPr>
        <w:spacing w:line="240" w:lineRule="auto"/>
        <w:rPr>
          <w:rFonts w:ascii="Times New Roman" w:hAnsi="Times New Roman"/>
          <w:sz w:val="24"/>
          <w:lang w:val="mn-MN"/>
        </w:rPr>
      </w:pPr>
    </w:p>
    <w:p w14:paraId="79BEBA8A" w14:textId="77777777" w:rsidR="00EE16ED" w:rsidRPr="00443D94" w:rsidRDefault="00EE16ED" w:rsidP="008049E2">
      <w:pPr>
        <w:spacing w:line="240" w:lineRule="auto"/>
        <w:jc w:val="center"/>
        <w:rPr>
          <w:rFonts w:ascii="Times New Roman" w:eastAsia="Arial" w:hAnsi="Times New Roman"/>
          <w:b/>
          <w:sz w:val="24"/>
          <w:lang w:val="mn-MN"/>
        </w:rPr>
      </w:pPr>
      <w:r w:rsidRPr="00443D94">
        <w:rPr>
          <w:rFonts w:ascii="Times New Roman" w:eastAsia="Arial" w:hAnsi="Times New Roman"/>
          <w:b/>
          <w:sz w:val="24"/>
          <w:lang w:val="mn-MN"/>
        </w:rPr>
        <w:t>ЗАЛУУ СОНГОГЧДЫН УЛС ТӨРИЙН ҮЙЛ БАЙДАЛД НӨЛӨӨЛЖ БУЙ ЗАРИМ ХҮЧИН ЗҮЙЛС</w:t>
      </w:r>
    </w:p>
    <w:p w14:paraId="25073612" w14:textId="15E97187" w:rsidR="00EE16ED" w:rsidRPr="00443D94" w:rsidRDefault="00EE16ED" w:rsidP="008049E2">
      <w:pPr>
        <w:spacing w:line="240" w:lineRule="auto"/>
        <w:jc w:val="center"/>
        <w:rPr>
          <w:rFonts w:ascii="Times New Roman" w:eastAsia="Arial" w:hAnsi="Times New Roman"/>
          <w:b/>
          <w:sz w:val="24"/>
          <w:lang w:val="mn-MN"/>
        </w:rPr>
      </w:pPr>
    </w:p>
    <w:p w14:paraId="37B4F24E" w14:textId="77777777" w:rsidR="00F73F4E" w:rsidRPr="00443D94" w:rsidRDefault="00F73F4E" w:rsidP="008049E2">
      <w:pPr>
        <w:spacing w:line="240" w:lineRule="auto"/>
        <w:jc w:val="center"/>
        <w:rPr>
          <w:rFonts w:ascii="Times New Roman" w:eastAsia="Arial" w:hAnsi="Times New Roman"/>
          <w:b/>
          <w:sz w:val="24"/>
          <w:lang w:val="mn-MN"/>
        </w:rPr>
      </w:pPr>
    </w:p>
    <w:p w14:paraId="20B226C9" w14:textId="77777777" w:rsidR="00EE16ED" w:rsidRPr="00443D94" w:rsidRDefault="00EE16ED" w:rsidP="00AD78C2">
      <w:pPr>
        <w:spacing w:line="240" w:lineRule="auto"/>
        <w:jc w:val="center"/>
        <w:rPr>
          <w:rFonts w:ascii="Times New Roman" w:eastAsia="Arial" w:hAnsi="Times New Roman"/>
          <w:b/>
          <w:bCs/>
          <w:sz w:val="24"/>
          <w:lang w:val="mn-MN"/>
        </w:rPr>
      </w:pPr>
      <w:r w:rsidRPr="00443D94">
        <w:rPr>
          <w:rFonts w:ascii="Times New Roman" w:eastAsia="Arial" w:hAnsi="Times New Roman"/>
          <w:b/>
          <w:bCs/>
          <w:sz w:val="24"/>
          <w:lang w:val="mn-MN"/>
        </w:rPr>
        <w:t>Б.Эрдэнэдалай</w:t>
      </w:r>
    </w:p>
    <w:p w14:paraId="612C9548" w14:textId="333943D2" w:rsidR="00EE16ED" w:rsidRPr="00443D94" w:rsidRDefault="00EE16ED" w:rsidP="00AD78C2">
      <w:pPr>
        <w:spacing w:line="240" w:lineRule="auto"/>
        <w:jc w:val="center"/>
        <w:rPr>
          <w:rFonts w:ascii="Times New Roman" w:eastAsia="Arial" w:hAnsi="Times New Roman"/>
          <w:b/>
          <w:bCs/>
          <w:sz w:val="24"/>
          <w:lang w:val="mn-MN"/>
        </w:rPr>
      </w:pPr>
      <w:r w:rsidRPr="00443D94">
        <w:rPr>
          <w:rFonts w:ascii="Times New Roman" w:eastAsia="Arial" w:hAnsi="Times New Roman"/>
          <w:sz w:val="24"/>
          <w:lang w:val="mn-MN"/>
        </w:rPr>
        <w:t>МУИС, УТСОУХНУС,</w:t>
      </w:r>
      <w:r w:rsidR="002A4177" w:rsidRPr="00443D94">
        <w:rPr>
          <w:rFonts w:ascii="Times New Roman" w:eastAsia="Arial" w:hAnsi="Times New Roman"/>
          <w:sz w:val="24"/>
          <w:lang w:val="mn-MN"/>
        </w:rPr>
        <w:t xml:space="preserve"> </w:t>
      </w:r>
      <w:r w:rsidRPr="00443D94">
        <w:rPr>
          <w:rFonts w:ascii="Times New Roman" w:eastAsia="Arial" w:hAnsi="Times New Roman"/>
          <w:sz w:val="24"/>
          <w:lang w:val="mn-MN"/>
        </w:rPr>
        <w:t>Улс төр судлалын тэнхимийн дэд профессор</w:t>
      </w:r>
    </w:p>
    <w:p w14:paraId="0667CDD7" w14:textId="77777777" w:rsidR="00EE16ED" w:rsidRPr="00443D94" w:rsidRDefault="00EE16ED" w:rsidP="00AD78C2">
      <w:pPr>
        <w:spacing w:line="240" w:lineRule="auto"/>
        <w:jc w:val="center"/>
        <w:rPr>
          <w:rFonts w:ascii="Times New Roman" w:eastAsia="Arial" w:hAnsi="Times New Roman"/>
          <w:sz w:val="24"/>
          <w:lang w:val="mn-MN"/>
        </w:rPr>
      </w:pPr>
    </w:p>
    <w:p w14:paraId="57506D0C" w14:textId="77777777" w:rsidR="00EE16ED" w:rsidRPr="00443D94" w:rsidRDefault="00EE16ED" w:rsidP="00AD78C2">
      <w:pPr>
        <w:spacing w:line="240" w:lineRule="auto"/>
        <w:jc w:val="center"/>
        <w:rPr>
          <w:rFonts w:ascii="Times New Roman" w:eastAsia="Arial" w:hAnsi="Times New Roman"/>
          <w:b/>
          <w:bCs/>
          <w:sz w:val="24"/>
          <w:lang w:val="mn-MN"/>
        </w:rPr>
      </w:pPr>
      <w:r w:rsidRPr="00443D94">
        <w:rPr>
          <w:rFonts w:ascii="Times New Roman" w:eastAsia="Arial" w:hAnsi="Times New Roman"/>
          <w:b/>
          <w:bCs/>
          <w:sz w:val="24"/>
          <w:lang w:val="mn-MN"/>
        </w:rPr>
        <w:t>Б.Энхмаа</w:t>
      </w:r>
    </w:p>
    <w:p w14:paraId="5F754481" w14:textId="0917B06C" w:rsidR="00EE16ED" w:rsidRPr="00443D94" w:rsidRDefault="00EE16ED" w:rsidP="00AD78C2">
      <w:pPr>
        <w:spacing w:line="240" w:lineRule="auto"/>
        <w:jc w:val="center"/>
        <w:rPr>
          <w:rFonts w:ascii="Times New Roman" w:eastAsia="Arial" w:hAnsi="Times New Roman"/>
          <w:b/>
          <w:bCs/>
          <w:sz w:val="24"/>
          <w:lang w:val="mn-MN"/>
        </w:rPr>
      </w:pPr>
      <w:r w:rsidRPr="00443D94">
        <w:rPr>
          <w:rFonts w:ascii="Times New Roman" w:eastAsia="Arial" w:hAnsi="Times New Roman"/>
          <w:sz w:val="24"/>
          <w:lang w:val="mn-MN"/>
        </w:rPr>
        <w:t>МУИС, УТСОУХНУС,</w:t>
      </w:r>
      <w:r w:rsidR="002A4177" w:rsidRPr="00443D94">
        <w:rPr>
          <w:rFonts w:ascii="Times New Roman" w:eastAsia="Arial" w:hAnsi="Times New Roman"/>
          <w:sz w:val="24"/>
          <w:lang w:val="mn-MN"/>
        </w:rPr>
        <w:t xml:space="preserve"> </w:t>
      </w:r>
      <w:r w:rsidRPr="00443D94">
        <w:rPr>
          <w:rFonts w:ascii="Times New Roman" w:eastAsia="Arial" w:hAnsi="Times New Roman"/>
          <w:sz w:val="24"/>
          <w:lang w:val="mn-MN"/>
        </w:rPr>
        <w:t>Улс төрийн мэдээлэл харилцааны магистрант</w:t>
      </w:r>
    </w:p>
    <w:p w14:paraId="30D2016D" w14:textId="33C05EE5" w:rsidR="00EE16ED" w:rsidRPr="00443D94" w:rsidRDefault="00EE16ED" w:rsidP="008049E2">
      <w:pPr>
        <w:spacing w:line="240" w:lineRule="auto"/>
        <w:jc w:val="center"/>
        <w:rPr>
          <w:rFonts w:ascii="Times New Roman" w:eastAsia="Arial" w:hAnsi="Times New Roman"/>
          <w:b/>
          <w:sz w:val="24"/>
          <w:lang w:val="mn-MN"/>
        </w:rPr>
      </w:pPr>
    </w:p>
    <w:p w14:paraId="760558BF" w14:textId="77777777" w:rsidR="00F73F4E" w:rsidRPr="00443D94" w:rsidRDefault="00F73F4E" w:rsidP="008049E2">
      <w:pPr>
        <w:spacing w:line="240" w:lineRule="auto"/>
        <w:jc w:val="center"/>
        <w:rPr>
          <w:rFonts w:ascii="Times New Roman" w:eastAsia="Arial" w:hAnsi="Times New Roman"/>
          <w:b/>
          <w:sz w:val="24"/>
          <w:lang w:val="mn-MN"/>
        </w:rPr>
      </w:pPr>
    </w:p>
    <w:p w14:paraId="038D700B" w14:textId="1C42BF21" w:rsidR="00EE16ED" w:rsidRPr="00443D94" w:rsidRDefault="00EE16ED" w:rsidP="008049E2">
      <w:pPr>
        <w:spacing w:line="240" w:lineRule="auto"/>
        <w:jc w:val="both"/>
        <w:rPr>
          <w:rFonts w:ascii="Times New Roman" w:eastAsia="Arial" w:hAnsi="Times New Roman"/>
          <w:b/>
          <w:iCs/>
          <w:sz w:val="24"/>
          <w:lang w:val="mn-MN"/>
        </w:rPr>
      </w:pPr>
      <w:r w:rsidRPr="00443D94">
        <w:rPr>
          <w:rFonts w:ascii="Times New Roman" w:eastAsia="Arial" w:hAnsi="Times New Roman"/>
          <w:b/>
          <w:iCs/>
          <w:sz w:val="24"/>
          <w:lang w:val="mn-MN"/>
        </w:rPr>
        <w:t>Хураангуй</w:t>
      </w:r>
    </w:p>
    <w:p w14:paraId="6820AEF7" w14:textId="77777777" w:rsidR="00F73F4E" w:rsidRPr="00443D94" w:rsidRDefault="00F73F4E" w:rsidP="008049E2">
      <w:pPr>
        <w:spacing w:line="240" w:lineRule="auto"/>
        <w:jc w:val="both"/>
        <w:rPr>
          <w:rFonts w:ascii="Times New Roman" w:eastAsia="Arial" w:hAnsi="Times New Roman"/>
          <w:sz w:val="24"/>
          <w:lang w:val="mn-MN"/>
        </w:rPr>
      </w:pPr>
    </w:p>
    <w:p w14:paraId="6410075F" w14:textId="462A8442" w:rsidR="00EE16ED" w:rsidRPr="00443D94" w:rsidRDefault="00EE16ED" w:rsidP="008049E2">
      <w:pPr>
        <w:spacing w:line="240" w:lineRule="auto"/>
        <w:jc w:val="both"/>
        <w:rPr>
          <w:rFonts w:ascii="Times New Roman" w:eastAsia="Arial" w:hAnsi="Times New Roman"/>
          <w:b/>
          <w:i/>
          <w:sz w:val="24"/>
          <w:lang w:val="mn-MN"/>
        </w:rPr>
      </w:pPr>
      <w:r w:rsidRPr="00443D94">
        <w:rPr>
          <w:rFonts w:ascii="Times New Roman" w:eastAsia="Arial" w:hAnsi="Times New Roman"/>
          <w:sz w:val="24"/>
          <w:lang w:val="mn-MN"/>
        </w:rPr>
        <w:t xml:space="preserve">Манайд сонгогчдын улс төрийн үйл байдал түүнд нөлөөлөх хүчин зүйлсийн талаар судалгааны ажил хийгдсэн байна. Гэсэн ч сонгуулийн кампанит ажлын үе дэх сонгогчдын үйл байдал тэдгээрт нөлөөлөх хүчин зүйлсийн талаарх зарим асуудлууд хөндөгдөөгүй, судалгааны ажил ховор байгаа нь энэ талаарх онолын ойлголтыг авч үзэх шаардлагатайг харуулж байгаа юм. Барууны улс орнуудад сонгогчдын улс төрийн үйл байдал түүнд нөлөөлөх хүчин зүйлсийн тухай олон судалгааны ажил, эх сурвалжууд байдаг. Энэ талаарх анхны судалгааны бүтээл нь 1945 онд хэвлэгдэн гарсан Э.Бернейсийн “Олон нийтийн харилцааны өнөөгийн нөхцөл байдал” (Public relations today) бол нийгмийн сэтгэл судлалын салбарт үйл байдлын талаар судалсан туршилтын үр дүнгүүд нийтлэгдэж байв. Залуу сонгогчдын улс төрийн сонголт, сонголтоо хийх, эсвэл хийхгүй байхад ямар хүчин зүйлс нөлөөлдөг болохыг судлахыг зорилоо. </w:t>
      </w:r>
    </w:p>
    <w:p w14:paraId="0950994F" w14:textId="77777777" w:rsidR="00F73F4E" w:rsidRPr="00443D94" w:rsidRDefault="00F73F4E" w:rsidP="008049E2">
      <w:pPr>
        <w:spacing w:line="240" w:lineRule="auto"/>
        <w:jc w:val="both"/>
        <w:rPr>
          <w:rFonts w:ascii="Times New Roman" w:eastAsia="Arial" w:hAnsi="Times New Roman"/>
          <w:b/>
          <w:bCs/>
          <w:i/>
          <w:iCs/>
          <w:sz w:val="24"/>
          <w:lang w:val="mn-MN"/>
        </w:rPr>
      </w:pPr>
    </w:p>
    <w:p w14:paraId="55F7BC40" w14:textId="47AB14FA" w:rsidR="00EE16ED" w:rsidRPr="00443D94" w:rsidRDefault="00EE16ED" w:rsidP="008049E2">
      <w:pPr>
        <w:spacing w:line="240" w:lineRule="auto"/>
        <w:jc w:val="both"/>
        <w:rPr>
          <w:rFonts w:ascii="Times New Roman" w:eastAsia="Arial" w:hAnsi="Times New Roman"/>
          <w:sz w:val="24"/>
          <w:lang w:val="mn-MN"/>
        </w:rPr>
      </w:pPr>
      <w:r w:rsidRPr="00443D94">
        <w:rPr>
          <w:rFonts w:ascii="Times New Roman" w:eastAsia="Arial" w:hAnsi="Times New Roman"/>
          <w:b/>
          <w:bCs/>
          <w:i/>
          <w:iCs/>
          <w:sz w:val="24"/>
          <w:lang w:val="mn-MN"/>
        </w:rPr>
        <w:t>Түлхүүр үг</w:t>
      </w:r>
      <w:r w:rsidRPr="00443D94">
        <w:rPr>
          <w:rFonts w:ascii="Times New Roman" w:eastAsia="Arial" w:hAnsi="Times New Roman"/>
          <w:sz w:val="24"/>
          <w:lang w:val="mn-MN"/>
        </w:rPr>
        <w:t>: улс төрийн үйл байдал, залуу сонгогчид, улс төрийн нөлөө</w:t>
      </w:r>
    </w:p>
    <w:p w14:paraId="0FFEAFCA" w14:textId="77777777" w:rsidR="00F73F4E" w:rsidRPr="00443D94" w:rsidRDefault="00F73F4E" w:rsidP="008049E2">
      <w:pPr>
        <w:spacing w:line="240" w:lineRule="auto"/>
        <w:jc w:val="both"/>
        <w:rPr>
          <w:rFonts w:ascii="Times New Roman" w:eastAsia="Arial" w:hAnsi="Times New Roman"/>
          <w:b/>
          <w:i/>
          <w:sz w:val="24"/>
          <w:lang w:val="mn-MN"/>
        </w:rPr>
      </w:pPr>
    </w:p>
    <w:p w14:paraId="2F42B908" w14:textId="77777777" w:rsidR="00F73F4E" w:rsidRPr="00443D94" w:rsidRDefault="00EE16ED" w:rsidP="008049E2">
      <w:pPr>
        <w:spacing w:line="240" w:lineRule="auto"/>
        <w:jc w:val="both"/>
        <w:rPr>
          <w:rFonts w:ascii="Times New Roman" w:eastAsia="Arial" w:hAnsi="Times New Roman"/>
          <w:b/>
          <w:iCs/>
          <w:sz w:val="24"/>
          <w:lang w:val="mn-MN"/>
        </w:rPr>
      </w:pPr>
      <w:r w:rsidRPr="00443D94">
        <w:rPr>
          <w:rFonts w:ascii="Times New Roman" w:eastAsia="Arial" w:hAnsi="Times New Roman"/>
          <w:b/>
          <w:iCs/>
          <w:sz w:val="24"/>
          <w:lang w:val="mn-MN"/>
        </w:rPr>
        <w:t>Сонгогчдын үйл байдал ба судалгааны арга зүй</w:t>
      </w:r>
    </w:p>
    <w:p w14:paraId="66B41435" w14:textId="77777777" w:rsidR="00F73F4E" w:rsidRPr="00443D94" w:rsidRDefault="00F73F4E" w:rsidP="008049E2">
      <w:pPr>
        <w:spacing w:line="240" w:lineRule="auto"/>
        <w:jc w:val="both"/>
        <w:rPr>
          <w:rFonts w:ascii="Times New Roman" w:eastAsia="Arial" w:hAnsi="Times New Roman"/>
          <w:b/>
          <w:i/>
          <w:sz w:val="24"/>
          <w:lang w:val="mn-MN"/>
        </w:rPr>
      </w:pPr>
    </w:p>
    <w:p w14:paraId="10DCC7F8" w14:textId="2CAABA4B" w:rsidR="006C609F" w:rsidRPr="00443D94" w:rsidRDefault="00EE16ED" w:rsidP="008049E2">
      <w:pPr>
        <w:spacing w:line="240" w:lineRule="auto"/>
        <w:jc w:val="both"/>
        <w:rPr>
          <w:rFonts w:ascii="Times New Roman" w:eastAsia="Arial" w:hAnsi="Times New Roman"/>
          <w:sz w:val="24"/>
          <w:lang w:val="mn-MN"/>
        </w:rPr>
        <w:sectPr w:rsidR="006C609F"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eastAsia="Arial" w:hAnsi="Times New Roman"/>
          <w:sz w:val="24"/>
          <w:lang w:val="mn-MN"/>
        </w:rPr>
        <w:t>Хүн улс төрийн аливаа үзэгдэл, үйл явдалд сэтгэл хөдлөлийн үүднээс хандаж, түүнийг сайшаах, дэмжих, эсэргүүцэх зэрэг янз бүрийн байдлыг гаргадаг. Үүнийг улс төрийн сэтгэл судлал нарийвчлан судалдаг. Улс төрийн сэтгэл судлал бол улс төрийн систем дэх бие хүний зан байдал, онцлог, манлайлал, итгэл үнэмшил,  улс төрийн үйл ажиллагаанд үзүүлэх хариу үйлдлийг судлах салбар дундын шинжлэх ухаан юм. Уг салбарын гол судлагдахуун нь нэг талаас сонгогчдын сэтгэл хөдлөл, үйл байдал, оролцоо нөгөө талаас улс төрийн намд харъяалагдах гишүүдийн зан төлөвийн онцлог, улс төрийн хандлага юм. Энэ тухай судлах хэрэгцээ шаардлага 1930-1940-өөд оны хооронд олон сая хүнийг хомроголон устгасан фашист Германы удирдагчийг олон нийт яагаад дэмжих болсныг мэдэх зорилготойгоор бий болж байв. АНУ-ын Засгийн газрын захиалгаар сэтгэл зүйч Хэнри Мюррей</w:t>
      </w:r>
    </w:p>
    <w:p w14:paraId="4F442B27" w14:textId="16883617" w:rsidR="00EE16ED" w:rsidRPr="00443D94" w:rsidRDefault="00EE16ED" w:rsidP="008049E2">
      <w:pPr>
        <w:spacing w:line="240" w:lineRule="auto"/>
        <w:jc w:val="both"/>
        <w:rPr>
          <w:rFonts w:ascii="Times New Roman" w:eastAsia="Arial" w:hAnsi="Times New Roman"/>
          <w:sz w:val="24"/>
          <w:lang w:val="mn-MN"/>
        </w:rPr>
      </w:pPr>
      <w:r w:rsidRPr="00443D94">
        <w:rPr>
          <w:rFonts w:ascii="Times New Roman" w:eastAsia="Arial" w:hAnsi="Times New Roman"/>
          <w:sz w:val="24"/>
          <w:vertAlign w:val="superscript"/>
          <w:lang w:val="mn-MN"/>
        </w:rPr>
        <w:lastRenderedPageBreak/>
        <w:footnoteReference w:id="2"/>
      </w:r>
      <w:r w:rsidRPr="00443D94">
        <w:rPr>
          <w:rFonts w:ascii="Times New Roman" w:eastAsia="Arial" w:hAnsi="Times New Roman"/>
          <w:sz w:val="24"/>
          <w:lang w:val="mn-MN"/>
        </w:rPr>
        <w:t xml:space="preserve"> нацист намын удирдагч Адольф Гитлерийн бие хүний онцлогийг дараах 3 бүлэгт хуваан судалсан нь улс төрийн сэтгэл судлалын цаашдын судалгааны чиглэлийг хөгжүүлэхэд үнэтэй хувь нэмэр оруулсан гэгддэг. Тухайн судалгаа дараах хэсгүүдээс бүрддэг.</w:t>
      </w:r>
    </w:p>
    <w:p w14:paraId="053844B9" w14:textId="77777777" w:rsidR="00EE16ED" w:rsidRPr="00443D94" w:rsidRDefault="00EE16ED" w:rsidP="008049E2">
      <w:pPr>
        <w:numPr>
          <w:ilvl w:val="0"/>
          <w:numId w:val="28"/>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color w:val="000000"/>
          <w:sz w:val="24"/>
          <w:lang w:val="mn-MN"/>
        </w:rPr>
        <w:t xml:space="preserve">Үндсэн хэсэг: </w:t>
      </w:r>
    </w:p>
    <w:p w14:paraId="5AB1209B" w14:textId="77777777" w:rsidR="00EE16ED" w:rsidRPr="00443D94" w:rsidRDefault="00EE16ED" w:rsidP="008049E2">
      <w:pPr>
        <w:numPr>
          <w:ilvl w:val="0"/>
          <w:numId w:val="29"/>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color w:val="000000"/>
          <w:sz w:val="24"/>
          <w:lang w:val="mn-MN"/>
        </w:rPr>
        <w:t xml:space="preserve">А.Гитлерийн бие хүний онцлогийн түүхэн баримт </w:t>
      </w:r>
    </w:p>
    <w:p w14:paraId="583CCB60" w14:textId="77777777" w:rsidR="00EE16ED" w:rsidRPr="00443D94" w:rsidRDefault="00EE16ED" w:rsidP="008049E2">
      <w:pPr>
        <w:numPr>
          <w:ilvl w:val="0"/>
          <w:numId w:val="29"/>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color w:val="000000"/>
          <w:sz w:val="24"/>
          <w:lang w:val="mn-MN"/>
        </w:rPr>
        <w:t xml:space="preserve">А.Гитлерийн зан төлөвийг таамагласан нь </w:t>
      </w:r>
    </w:p>
    <w:p w14:paraId="2F52FF63" w14:textId="77777777" w:rsidR="00EE16ED" w:rsidRPr="00443D94" w:rsidRDefault="00EE16ED" w:rsidP="008049E2">
      <w:pPr>
        <w:numPr>
          <w:ilvl w:val="0"/>
          <w:numId w:val="29"/>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color w:val="000000"/>
          <w:sz w:val="24"/>
          <w:lang w:val="mn-MN"/>
        </w:rPr>
        <w:t xml:space="preserve">А.Гитлерийн түгшүүрийн тухайд </w:t>
      </w:r>
    </w:p>
    <w:p w14:paraId="1E1C46D1" w14:textId="77777777" w:rsidR="00EE16ED" w:rsidRPr="00443D94" w:rsidRDefault="00EE16ED" w:rsidP="008049E2">
      <w:pPr>
        <w:numPr>
          <w:ilvl w:val="0"/>
          <w:numId w:val="29"/>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color w:val="000000"/>
          <w:sz w:val="24"/>
          <w:lang w:val="mn-MN"/>
        </w:rPr>
        <w:t xml:space="preserve">Герман хүмүүсийн түгшүүрийн тухайд </w:t>
      </w:r>
    </w:p>
    <w:p w14:paraId="3DD58F33" w14:textId="77777777" w:rsidR="00EE16ED" w:rsidRPr="00443D94" w:rsidRDefault="00EE16ED" w:rsidP="008049E2">
      <w:pPr>
        <w:numPr>
          <w:ilvl w:val="0"/>
          <w:numId w:val="28"/>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color w:val="000000"/>
          <w:sz w:val="24"/>
          <w:lang w:val="mn-MN"/>
        </w:rPr>
        <w:t xml:space="preserve">А.Гитлерийн кейс анализийн судалгаа </w:t>
      </w:r>
    </w:p>
    <w:p w14:paraId="44E3781C" w14:textId="77777777" w:rsidR="00EE16ED" w:rsidRPr="00443D94" w:rsidRDefault="00EE16ED" w:rsidP="008049E2">
      <w:pPr>
        <w:numPr>
          <w:ilvl w:val="0"/>
          <w:numId w:val="28"/>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color w:val="000000"/>
          <w:sz w:val="24"/>
          <w:lang w:val="mn-MN"/>
        </w:rPr>
        <w:t xml:space="preserve">А.Гитлерийн тухай сэтгэл зүйчид болон сэтгэцийн эмч нарын тодорхойлолт, тэмдэглэл гэж хуваан судлагдсан бөгөөд ингэснээр олон нийт түүнийг дэмжих болсон шалтгаан тодорхой гарч ирсэн юм. </w:t>
      </w:r>
    </w:p>
    <w:p w14:paraId="6583A92E" w14:textId="77777777" w:rsidR="00EE16ED" w:rsidRPr="00443D94" w:rsidRDefault="00EE16ED" w:rsidP="008049E2">
      <w:pPr>
        <w:spacing w:line="240" w:lineRule="auto"/>
        <w:ind w:firstLine="720"/>
        <w:jc w:val="both"/>
        <w:rPr>
          <w:rFonts w:ascii="Times New Roman" w:eastAsia="Arial" w:hAnsi="Times New Roman"/>
          <w:sz w:val="24"/>
          <w:lang w:val="mn-MN"/>
        </w:rPr>
      </w:pPr>
      <w:r w:rsidRPr="00443D94">
        <w:rPr>
          <w:rFonts w:ascii="Times New Roman" w:eastAsia="Arial" w:hAnsi="Times New Roman"/>
          <w:sz w:val="24"/>
          <w:lang w:val="mn-MN"/>
        </w:rPr>
        <w:t xml:space="preserve">Энэхүү судалгааны ач холбогдол нь улс төрийн үйл ажиллагаанд оролцогч болох олон нийтэд хэрхэн нөлөөлөх, удирдагч бие хүний онцлогийн ерөнхий хэв шинжийг тодорхойлох, судалгааны арга зүйтэй болоход чиглэгдсэн юм. Харин 1960-1970-аад онуудад сонгуулийн санал өгөх үйл явцад анхаарсан “улс төрийн зан үйл”-ийн судалгаа эрчимжиж эхлэв. Үүнд нөлөөлсөн өөр нэг хүчин зүйл нь нийгмийн өөрчлөлт, шилжилт юм. Сонгогчийн үйл байдлыг судлах судалгаа улс төр, социологиос сэтгэл зүйн чиглэл рүү дамжин хөгжсөн. Ингэхдээ сонгогчид хэрхэн шийдвэр гаргадаг тухай улс төрийн сэтгэл судлалын салбар судалгааны чиглэлээ болгон анхаарал хандуулсан нь сонгогчдын үйл байдалд нөлөөлж буй нийгэм-сэтгэл зүйн хүчин зүйлсийг судлахад анхаарах болсон. </w:t>
      </w:r>
      <w:r w:rsidRPr="00443D94">
        <w:rPr>
          <w:rFonts w:ascii="Times New Roman" w:eastAsia="Times New Roman" w:hAnsi="Times New Roman"/>
          <w:sz w:val="24"/>
          <w:lang w:val="mn-MN"/>
        </w:rPr>
        <w:t xml:space="preserve">Сонгогчдын үйл байдал судалдаг салбар ухааныг псефологи гэдэг бөгөөд хүмүүс сонгуульд саналаа хэрхэн өгдөг, тэдний сонголтод ямар хүчин зүйлс нөлөөлдөг, хэр ухаалаг сонголт хийдэг болохыг судлахын сацуу нам эвсэл, нэр дэвшигчдийн рейтингийн дарааллыг харах, хүн амын тодорхой бүлгүүд нам, бүлгийн бодлого, үйл ажиллагаанд үзүүлж буй эерэг, сөрөг хандлага, сонгуулийн сурталчилгааны компанит ажлыг хэрхэн хүлээж авч буй зэргийг тодорхойлдог байна. </w:t>
      </w:r>
      <w:r w:rsidRPr="00443D94">
        <w:rPr>
          <w:rFonts w:ascii="Times New Roman" w:eastAsia="Arial" w:hAnsi="Times New Roman"/>
          <w:sz w:val="24"/>
          <w:lang w:val="mn-MN"/>
        </w:rPr>
        <w:t xml:space="preserve">Улс төрийн шинжлэх ухаанд үйл байдлыг “иргэд сонгогчдын үйл байдал, үйл хөдлөл” гэсэн утгаар хэрэглэсэн бөгөөд бие даасан судалгааны чиглэл болох сонгогчдын улс төрийн үйл байдлыг судлах болжээ. </w:t>
      </w:r>
    </w:p>
    <w:p w14:paraId="06FE2FD8" w14:textId="77777777" w:rsidR="00EE16ED" w:rsidRPr="00443D94" w:rsidRDefault="00EE16ED" w:rsidP="008049E2">
      <w:pPr>
        <w:spacing w:line="240" w:lineRule="auto"/>
        <w:ind w:firstLine="720"/>
        <w:jc w:val="both"/>
        <w:rPr>
          <w:rFonts w:ascii="Times New Roman" w:eastAsia="Arial" w:hAnsi="Times New Roman"/>
          <w:sz w:val="24"/>
          <w:lang w:val="mn-MN"/>
        </w:rPr>
      </w:pPr>
      <w:r w:rsidRPr="00443D94">
        <w:rPr>
          <w:rFonts w:ascii="Times New Roman" w:eastAsia="Arial" w:hAnsi="Times New Roman"/>
          <w:sz w:val="24"/>
          <w:lang w:val="mn-MN"/>
        </w:rPr>
        <w:t xml:space="preserve">Англи хэлний “behavior” монгол хэлнээ “үйл байдал” гэх утгаар XX зууны эхээр социологи, сэтгэл судлал, улс төрийн шинжлэх ухаанд хэрэглэж ирсэн байна. Сонгогчдын үйл байдлын талаар улс төр, социологийн дүн шинжилгээ голлож сонгуулийн дүнг социал бүлгүүд, тэдгээрийн байр суурь, нас боловсрол, шашин шүтлэгтэй хамааруулж тайлбарладаг байв. Энэхүү судалгаанууд дан ганц улс төр, социологийн хүрээнд хязгаарлагдах нь учир дутагдалтай болж ирснийг сонгогчдын үйл байдлыг судалдаг сэтгэл зүйн хүчин зүйлүүд харуулж байна гэх саналыг судлаачид дэвшүүлэх болов. Өмнөх үеийн улс төрийн сэтгэл судлалын судалгааны чиглэл 1980 оноос танин мэдэхүйн чиглэл рүү судлах болсон нь ой тогтоолт, анхаарал, мэдээлэл боловсруулах чадвар, үйл явцын тухай туршилт судалгаа хөгжихөд нөлөөлөв. Ингэснээр сонгогчдын үйл байдал, шийдвэр гаргалтад нөлөөлөхийн тулд системт арга үр дүнтэй болохыг мэдсэн байна. </w:t>
      </w:r>
    </w:p>
    <w:p w14:paraId="607E14AF" w14:textId="77777777" w:rsidR="00EE16ED" w:rsidRPr="00443D94" w:rsidRDefault="00EE16ED" w:rsidP="008049E2">
      <w:pPr>
        <w:spacing w:line="240" w:lineRule="auto"/>
        <w:ind w:firstLine="720"/>
        <w:jc w:val="both"/>
        <w:rPr>
          <w:rFonts w:ascii="Times New Roman" w:eastAsia="Arial" w:hAnsi="Times New Roman"/>
          <w:sz w:val="24"/>
          <w:lang w:val="mn-MN"/>
        </w:rPr>
      </w:pPr>
      <w:r w:rsidRPr="00443D94">
        <w:rPr>
          <w:rFonts w:ascii="Times New Roman" w:eastAsia="Arial" w:hAnsi="Times New Roman"/>
          <w:sz w:val="24"/>
          <w:lang w:val="mn-MN"/>
        </w:rPr>
        <w:t xml:space="preserve">Орчин үед улс төр болон сэтгэл судлалын чиг хандлагыг ялган авч үзэх хэрэгтэй гэсэн судлаачид байх болсон ч сонгогчдын үйл байдалд нөлөөлөх хүчин зүйлс (сонгуулийн кампанит ажил, намын мөрийн хөтөлбөр, хэвлэл мэдээллийн хэрэгсэл, нас, хүйс, боловсролын түвшин, бие хүний онцлог хэв шинж г.м.) тэгэх боломжгүй гэдгийг баталж байна. </w:t>
      </w:r>
      <w:r w:rsidRPr="00443D94">
        <w:rPr>
          <w:rFonts w:ascii="Times New Roman" w:hAnsi="Times New Roman"/>
          <w:sz w:val="24"/>
          <w:lang w:val="mn-MN"/>
        </w:rPr>
        <w:t xml:space="preserve">Сонгууль бол түргэн өөрчлөлтийг агуулсан үйл явц учраас судлаачид болон улс төрчид ээлжит сонгууль хүртэл хугацаанд гарч буй өөрчлөлтөд гол төлөв анхаардаг байна. </w:t>
      </w:r>
      <w:r w:rsidRPr="00443D94">
        <w:rPr>
          <w:rFonts w:ascii="Times New Roman" w:eastAsia="Arial" w:hAnsi="Times New Roman"/>
          <w:sz w:val="24"/>
          <w:lang w:val="mn-MN"/>
        </w:rPr>
        <w:t>Сонгогчдын шийдвэр гаргах явцад танин мэдэхүйн онолыг ашиглан нөлөөлж болох юм.</w:t>
      </w:r>
      <w:r w:rsidRPr="00443D94">
        <w:rPr>
          <w:rFonts w:ascii="Times New Roman" w:eastAsia="Arial" w:hAnsi="Times New Roman"/>
          <w:sz w:val="24"/>
          <w:vertAlign w:val="superscript"/>
          <w:lang w:val="mn-MN"/>
        </w:rPr>
        <w:footnoteReference w:id="3"/>
      </w:r>
      <w:r w:rsidRPr="00443D94">
        <w:rPr>
          <w:rFonts w:ascii="Times New Roman" w:eastAsia="Arial" w:hAnsi="Times New Roman"/>
          <w:sz w:val="24"/>
          <w:lang w:val="mn-MN"/>
        </w:rPr>
        <w:t xml:space="preserve"> </w:t>
      </w:r>
    </w:p>
    <w:p w14:paraId="5FEC65A6" w14:textId="028FC542" w:rsidR="00EE16ED" w:rsidRPr="00443D94" w:rsidRDefault="00EE16ED" w:rsidP="008049E2">
      <w:pPr>
        <w:spacing w:line="240" w:lineRule="auto"/>
        <w:ind w:firstLine="720"/>
        <w:jc w:val="both"/>
        <w:rPr>
          <w:rFonts w:ascii="Times New Roman" w:eastAsia="Arial" w:hAnsi="Times New Roman"/>
          <w:sz w:val="24"/>
          <w:lang w:val="mn-MN"/>
        </w:rPr>
      </w:pPr>
      <w:r w:rsidRPr="00443D94">
        <w:rPr>
          <w:rFonts w:ascii="Times New Roman" w:eastAsia="Arial" w:hAnsi="Times New Roman"/>
          <w:sz w:val="24"/>
          <w:lang w:val="mn-MN"/>
        </w:rPr>
        <w:t xml:space="preserve">Европын залуучуудын парламентын 2021 оны судалгааны үр дүнгээс харахад 20-25 насныхны 43% нь сошиал медиаг мэдээллийн гол эх сурвалжаа болгосон бөгөөд нийт оролцогчдын 54% нь фейсбүүк, 48% нь инстаграм хуудсаар мэдээллээ авдаг хэмээн хариулжээ. Хэдий улс төрийн үйл ажиллагаанд оролцохыг хүсдэггүй үе гарч ирсэн ч улс төрийн үйл ажиллагаанд сэтгэл ханамжгүй байгаа нь эсрэгээрээ үзэл бодлоо илэрхийлэх, шүүмжлэх үйл байдлыг бий болгож байна (Marsh, 2017). Улс төрчдийн мэдээллийн хэрэгслийг ашиглах үйл явц сонгуулийн үеэр улам идэвхжиж сонгогчдын санаа, бодолд нөлөөлөх нь кампанит ажил болтлоо хөгжсөн байдаг. Сонгогчдын үнэт зүйлсийн баримжаалал буюу тэдний юуг үнэт зүйл гэж үзэж буй итгэл үнэмшил хялбар өөрчлөгддөггүй. Тиймдээ ч урт хугацааны (харьцангуй тогтвортой, суурь) хүчин зүйл юм. Сонгогчдын үнэт зүйлсийн баримжаалал ямар байгааг тодруулахад ихэвчлэн Р.Инглехартын аргачлалыг ашигладаг байна. Инглехарт судалгаа хийхдээ А.Маслоугийн “хэрэгцээний шатлал”-ыг үндэс болгожээ. Үнэт зүйлсийн баримжаалал, тодорхой асуудлаарх байр суурь хоёр нь ялгаатай ойлголтууд боловч ямар асуудалд хэрхэн хандаж байна гэдэгт үндэслэн үнэт зүйлсийн баримжааллыг тоймлож болох талтай. Өөрөөр хэлбэл, энд сонгогчид материаллаг болоод материаллаг бус хэрэгцээ, улс орны хэмжээний, бодлогын чанартай асуудал хийгээд тухайн тойрог, хувийн шинжтэй асуудлын алинд нь түлхүү анхаарч байгааг тоймлож болдог байна. </w:t>
      </w:r>
    </w:p>
    <w:p w14:paraId="608F3198" w14:textId="77777777" w:rsidR="00F73F4E" w:rsidRPr="00443D94" w:rsidRDefault="00F73F4E" w:rsidP="008049E2">
      <w:pPr>
        <w:spacing w:line="240" w:lineRule="auto"/>
        <w:ind w:firstLine="720"/>
        <w:jc w:val="both"/>
        <w:rPr>
          <w:rFonts w:ascii="Times New Roman" w:hAnsi="Times New Roman"/>
          <w:sz w:val="24"/>
          <w:lang w:val="mn-MN"/>
        </w:rPr>
      </w:pPr>
    </w:p>
    <w:p w14:paraId="0B04769C" w14:textId="77777777" w:rsidR="00EE16ED" w:rsidRPr="00443D94" w:rsidRDefault="00EE16ED" w:rsidP="008049E2">
      <w:pPr>
        <w:pBdr>
          <w:top w:val="nil"/>
          <w:left w:val="nil"/>
          <w:bottom w:val="nil"/>
          <w:right w:val="nil"/>
          <w:between w:val="nil"/>
        </w:pBdr>
        <w:spacing w:line="240" w:lineRule="auto"/>
        <w:jc w:val="both"/>
        <w:rPr>
          <w:rFonts w:ascii="Times New Roman" w:eastAsia="Arial" w:hAnsi="Times New Roman"/>
          <w:b/>
          <w:iCs/>
          <w:sz w:val="24"/>
          <w:lang w:val="mn-MN"/>
        </w:rPr>
      </w:pPr>
      <w:r w:rsidRPr="00443D94">
        <w:rPr>
          <w:rFonts w:ascii="Times New Roman" w:eastAsia="Arial" w:hAnsi="Times New Roman"/>
          <w:b/>
          <w:iCs/>
          <w:sz w:val="24"/>
          <w:lang w:val="mn-MN"/>
        </w:rPr>
        <w:t>Залуу сонгогчдын үйл байдал ба сэтгэл зүйн онцлог</w:t>
      </w:r>
    </w:p>
    <w:p w14:paraId="58A6D8D6" w14:textId="77777777" w:rsidR="00F73F4E" w:rsidRPr="00443D94" w:rsidRDefault="00F73F4E" w:rsidP="008049E2">
      <w:pPr>
        <w:spacing w:line="240" w:lineRule="auto"/>
        <w:contextualSpacing/>
        <w:jc w:val="both"/>
        <w:rPr>
          <w:rFonts w:ascii="Times New Roman" w:eastAsia="Arial" w:hAnsi="Times New Roman"/>
          <w:sz w:val="24"/>
          <w:lang w:val="mn-MN"/>
        </w:rPr>
      </w:pPr>
    </w:p>
    <w:p w14:paraId="45470854" w14:textId="797D5806" w:rsidR="00EE16ED" w:rsidRPr="00443D94" w:rsidRDefault="00EE16ED" w:rsidP="008049E2">
      <w:pPr>
        <w:spacing w:line="240" w:lineRule="auto"/>
        <w:contextualSpacing/>
        <w:jc w:val="both"/>
        <w:rPr>
          <w:rFonts w:ascii="Times New Roman" w:eastAsia="Arial" w:hAnsi="Times New Roman"/>
          <w:sz w:val="24"/>
          <w:lang w:val="mn-MN"/>
        </w:rPr>
      </w:pPr>
      <w:r w:rsidRPr="00443D94">
        <w:rPr>
          <w:rFonts w:ascii="Times New Roman" w:eastAsia="Arial" w:hAnsi="Times New Roman"/>
          <w:sz w:val="24"/>
          <w:lang w:val="mn-MN"/>
        </w:rPr>
        <w:t xml:space="preserve">Залуучуудын улс төрийн оролцооны тухай судлахын тулд нийгэм-сэтгэл зүйн тухай онолын талаар нэмж судлах шаардлагатай. Германы социологич Карл Манхейм залуучуудыг нийгмийн өөрчлөлтийн гол хөдөлгөгч хүч гэсэн байдаг. Сонгогчдын шийдвэр гаргалтад хамгийн анхдагч нөлөө үзүүлдэг хэсэг бол гэр бүл, сургууль, нийгмийн институт байдаг. Сонгогчид нийгмийн хамгийн хариуцлагатай хэсэг болдгийн хувьд нийгмийн сэтгэл судлал талаас сонгогчийн үйл байдалд анхаарах ч хэрэгтэй. Америкийн сэтгэл зүйч Эрик Эриксоны насны үечлэлийн онолоор 20-25 насныхны нийгэм-сэтгэл зүйн хөгжил нь өөрийгөө хэр зэрэг таньснаас шалтгаалах бөгөөд өөрийн талаар тодорхой төсөөлөл үүсээгүй бол бусадтай харилцахад хүндрэл бэрхшээлтэй, нийгмийн үйл ажиллагаанд оролцохоос зайлсхийдэг хэмээн үзжээ. Иймд энэ насны бүлгийн сэтгэл зүйн онцлогт тохируулсан сонгуулийн кампанит ажил, улс төрийн боловсрол олгох нөлөөллийн ажлыг тус тус тогтмол хийх нь санал хураалтын явцад эерэг үр нөлөөтэй. </w:t>
      </w:r>
    </w:p>
    <w:p w14:paraId="51174732" w14:textId="77777777" w:rsidR="00EE16ED" w:rsidRPr="00443D94" w:rsidRDefault="00EE16ED" w:rsidP="008049E2">
      <w:pPr>
        <w:spacing w:line="240" w:lineRule="auto"/>
        <w:ind w:firstLine="720"/>
        <w:contextualSpacing/>
        <w:jc w:val="both"/>
        <w:rPr>
          <w:rFonts w:ascii="Times New Roman" w:eastAsia="Arial" w:hAnsi="Times New Roman"/>
          <w:sz w:val="24"/>
          <w:lang w:val="mn-MN"/>
        </w:rPr>
      </w:pPr>
      <w:r w:rsidRPr="00443D94">
        <w:rPr>
          <w:rFonts w:ascii="Times New Roman" w:eastAsia="Arial" w:hAnsi="Times New Roman"/>
          <w:sz w:val="24"/>
          <w:lang w:val="mn-MN"/>
        </w:rPr>
        <w:t xml:space="preserve">Залуу сонгогчдын сонгуульд оролцох үйл байдлыг Хойд Америк, Баруун Европ, Австрали зэрэг 21 улсад 1948-2019 оны хооронд болж байсан 219 сонгуулийн үр дүнд харьцуулан шинжилсэн байна. Тус судалгаа нь залуу сонгогчдын ирцийн өсөлтийг нөлөөлж буй хүчин зүйлстэй хамааруулан судалсан бөгөөд бусдыг аялдан дагаж сонголт хийдэг, сонголтоо өөрчлөх магадлал өндөр байгааг тодотгожээ </w:t>
      </w:r>
      <w:sdt>
        <w:sdtPr>
          <w:rPr>
            <w:rFonts w:ascii="Times New Roman" w:eastAsia="Arial" w:hAnsi="Times New Roman"/>
            <w:sz w:val="24"/>
            <w:lang w:val="mn-MN"/>
          </w:rPr>
          <w:id w:val="305990036"/>
          <w:citation/>
        </w:sdtPr>
        <w:sdtContent>
          <w:r w:rsidRPr="00443D94">
            <w:rPr>
              <w:rFonts w:ascii="Times New Roman" w:eastAsia="Arial" w:hAnsi="Times New Roman"/>
              <w:sz w:val="24"/>
              <w:lang w:val="mn-MN"/>
            </w:rPr>
            <w:fldChar w:fldCharType="begin"/>
          </w:r>
          <w:r w:rsidRPr="00443D94">
            <w:rPr>
              <w:rFonts w:ascii="Times New Roman" w:eastAsia="Arial" w:hAnsi="Times New Roman"/>
              <w:sz w:val="24"/>
              <w:lang w:val="mn-MN"/>
            </w:rPr>
            <w:instrText xml:space="preserve"> CITATION Rod22 \l 1033 </w:instrText>
          </w:r>
          <w:r w:rsidRPr="00443D94">
            <w:rPr>
              <w:rFonts w:ascii="Times New Roman" w:eastAsia="Arial" w:hAnsi="Times New Roman"/>
              <w:sz w:val="24"/>
              <w:lang w:val="mn-MN"/>
            </w:rPr>
            <w:fldChar w:fldCharType="separate"/>
          </w:r>
          <w:r w:rsidRPr="00443D94">
            <w:rPr>
              <w:rFonts w:ascii="Times New Roman" w:eastAsia="Arial" w:hAnsi="Times New Roman"/>
              <w:noProof/>
              <w:sz w:val="24"/>
              <w:lang w:val="mn-MN"/>
            </w:rPr>
            <w:t>(Rekker, 2022)</w:t>
          </w:r>
          <w:r w:rsidRPr="00443D94">
            <w:rPr>
              <w:rFonts w:ascii="Times New Roman" w:eastAsia="Arial" w:hAnsi="Times New Roman"/>
              <w:sz w:val="24"/>
              <w:lang w:val="mn-MN"/>
            </w:rPr>
            <w:fldChar w:fldCharType="end"/>
          </w:r>
        </w:sdtContent>
      </w:sdt>
      <w:r w:rsidRPr="00443D94">
        <w:rPr>
          <w:rFonts w:ascii="Times New Roman" w:eastAsia="Arial" w:hAnsi="Times New Roman"/>
          <w:sz w:val="24"/>
          <w:lang w:val="mn-MN"/>
        </w:rPr>
        <w:t xml:space="preserve">. Аль ч орны сонгогчид тухайн цаг үед улс орны хэмжээнд болон өөрт хамаатай асуудлуудаар улс төрийн намууд, нэр дэвшигчид ямар байр суурь баримталж буйг сонирхон ханддаг. 2018 оны АНУ-ын конгрессын сонгуулиар залуучуудын идэвх оролцоо өссөн нь түүхэн үйл явдал болсон бөгөөд үүнд сонгуулийн компанит ажлын үеэр олон сая дагагчтай нийгмийн идэвхтэн залуучууд нийгмийн сүлжээнд үзэл бодлоо нээлттэй хуваалцаж байсан, улс төрийн цуглааныг ихээр зохион байгуулсан зэрэг хүчин зүйлс нөлөөлж байв. Хэвлэл мэдээллийн хэрэгслээр “залуучуудын давалгаа” гэх гарчигтай мэдээллүүд цацагдаж, сонгуулийн үр дүнд өөрчлөлт гарна гэх мэтээр таамаглаж байлаа. 18-29 насны сонгогчдын ирц 2014 онд 21 хувь байсан бол 2018 онд 31 хувь болж өсчээ. Энэхүү өсөлт түр зуурын үзэгдэл байсан ба 2008 оны АНУ-ын Ерөнхийлөгчийн сонгуулийн үед ч адил үйл явдал болж байжээ. Уг үзэгдлийг улс төрийн рациональ сонголтын онолоор авч үзвэл сонгогчид өөрсдөдөө ашигтай эсэхийг тооцоолж санал өгдөг ч мөрийн хөтөлбөрийн хэрэгжилт биелэлээ олохгүй тохиолдолд дараагийн сонгуульд оролцохгүй байх хандлагаар тайлбарлаж болох юм. Түүнчлэн сонгогчдыг идэвхжүүлэх үйл явц чухал ач холбогдолтой. </w:t>
      </w:r>
    </w:p>
    <w:p w14:paraId="05132A5A" w14:textId="77777777" w:rsidR="00EE16ED" w:rsidRPr="00443D94" w:rsidRDefault="00EE16ED" w:rsidP="008049E2">
      <w:pPr>
        <w:spacing w:line="240" w:lineRule="auto"/>
        <w:ind w:firstLine="720"/>
        <w:contextualSpacing/>
        <w:jc w:val="both"/>
        <w:rPr>
          <w:rFonts w:ascii="Times New Roman" w:eastAsia="Times New Roman" w:hAnsi="Times New Roman"/>
          <w:sz w:val="24"/>
          <w:lang w:val="mn-MN"/>
        </w:rPr>
      </w:pPr>
      <w:r w:rsidRPr="00443D94">
        <w:rPr>
          <w:rFonts w:ascii="Times New Roman" w:eastAsia="Arial" w:hAnsi="Times New Roman"/>
          <w:sz w:val="24"/>
          <w:lang w:val="mn-MN"/>
        </w:rPr>
        <w:t>Сонгогчдын цөөн хэсэг нь л асуудал нэг бүрийг ухамсартайгаар авч үздэг (Ганболд, 2014). Олны сэтгэл эмзэглүүлсэн, анхаарал татсан, тулгамдсан асуудлуудаар улс төрийн хүчнүүд ямар байр суурьтай байж, шийдвэрлэх арга замаа хэрхэн тодорхойлж байгаа нь сонгогчдын үйл байдалд нөлөөлдөг. Жишээлбэл, УИХ-ын 2000 оны сонгуулийн үед авлига, хээл хахууль, өмч хувьчлал, үндэсний үйлдвэрлэл зэрэг олон асуудлуудыг сонгогчид анхааран сонирхож, тухайн асуудлаар өөрсдийн гэсэн бодолтой байж улс төрийн намууд, нэр дэвшигчид ямар байр суурьтай байгаа зэрэгт үндэслэн сонголтоо хийж байв. Сонгуулийн энэ хүчин зүйлийн үйлчлэл нь нэг талаас “сонгогч бол тэнэг биш”, нөгөө талаас “төр олон түмний бүхий л хүслийг биелүүлэх боломжгүй” гэсэн хоёр ойлголтын харилцан үйлчлэлээр тодорхойлогддог байна.</w:t>
      </w:r>
      <w:r w:rsidRPr="00443D94">
        <w:rPr>
          <w:rFonts w:ascii="Times New Roman" w:eastAsia="Times New Roman" w:hAnsi="Times New Roman"/>
          <w:sz w:val="24"/>
          <w:lang w:val="mn-MN"/>
        </w:rPr>
        <w:t xml:space="preserve"> </w:t>
      </w:r>
    </w:p>
    <w:p w14:paraId="4B4C625C" w14:textId="77777777" w:rsidR="00EE16ED" w:rsidRPr="00443D94" w:rsidRDefault="00EE16ED" w:rsidP="008049E2">
      <w:pPr>
        <w:spacing w:line="240" w:lineRule="auto"/>
        <w:ind w:firstLine="720"/>
        <w:contextualSpacing/>
        <w:jc w:val="both"/>
        <w:rPr>
          <w:rFonts w:ascii="Times New Roman" w:eastAsia="Arial" w:hAnsi="Times New Roman"/>
          <w:sz w:val="24"/>
          <w:lang w:val="mn-MN"/>
        </w:rPr>
      </w:pPr>
      <w:r w:rsidRPr="00443D94">
        <w:rPr>
          <w:rFonts w:ascii="Times New Roman" w:eastAsia="Arial" w:hAnsi="Times New Roman"/>
          <w:sz w:val="24"/>
          <w:lang w:val="mn-MN"/>
        </w:rPr>
        <w:t xml:space="preserve">Нөлөөлөл гэдэг нь бие хүний аливаа асуудал, обьектэд хандах танин мэдэхүй, зан байдал, сэтгэлийн хөдөлгөөн, хандлагыг өөрчлөх арга юм. Харин улс төрийн шинжлэх ухаанд улс төрийн нөлөөлөл гэх үг 1920-иод оноос англи хэлнээ хэрэглэгдэх болж, 1940-1950-иад оны үеэс нийгмийн нөлөөллийн үзэл баримтлал, хандлагын хүрээнд бие даасан судлагдахуун болж хөгжжээ. Уг хандлагыг Колумбын Их Сургуулийн профессор Паул Лазарсфельд нарын судлаачид нийгмийн харилцааны онолын хүрээнд боловсруулсан. </w:t>
      </w:r>
    </w:p>
    <w:p w14:paraId="4C664EF2" w14:textId="004674E0" w:rsidR="00EE16ED" w:rsidRPr="00443D94" w:rsidRDefault="00EE16ED" w:rsidP="008049E2">
      <w:pPr>
        <w:spacing w:line="240" w:lineRule="auto"/>
        <w:ind w:firstLine="720"/>
        <w:contextualSpacing/>
        <w:jc w:val="both"/>
        <w:rPr>
          <w:rFonts w:ascii="Times New Roman" w:eastAsia="Arial" w:hAnsi="Times New Roman"/>
          <w:sz w:val="24"/>
          <w:lang w:val="mn-MN"/>
        </w:rPr>
      </w:pPr>
      <w:r w:rsidRPr="00443D94">
        <w:rPr>
          <w:rFonts w:ascii="Times New Roman" w:eastAsia="Arial" w:hAnsi="Times New Roman"/>
          <w:sz w:val="24"/>
          <w:lang w:val="mn-MN"/>
        </w:rPr>
        <w:t xml:space="preserve">Улс төрийн намуудын үзэл баримтлалд хандах хандлага, үнэт зүйлсийн баримжаа, тодорхой асуудлаарх байр суурь зэрэг сонгогчийн сэтгэл зүйд нөлөөлж буй бусад хүчин зүйлс ч бусдын нөлөөллийн оролцоотойгоор бүрэлддэг. Энд зөвхөн “бусдын шууд нөлөө” буюу сонгогч саналаа өгөхдөө бусдын үгийг дагах, бусдыг аялдах явдлыг ойлгох нь зүйтэй байна. </w:t>
      </w:r>
    </w:p>
    <w:p w14:paraId="29FE74C4" w14:textId="77777777" w:rsidR="00F73F4E" w:rsidRPr="00443D94" w:rsidRDefault="00F73F4E" w:rsidP="008049E2">
      <w:pPr>
        <w:spacing w:line="240" w:lineRule="auto"/>
        <w:ind w:firstLine="720"/>
        <w:contextualSpacing/>
        <w:jc w:val="both"/>
        <w:rPr>
          <w:rFonts w:ascii="Times New Roman" w:eastAsia="Arial" w:hAnsi="Times New Roman"/>
          <w:sz w:val="24"/>
          <w:lang w:val="mn-MN"/>
        </w:rPr>
      </w:pPr>
    </w:p>
    <w:p w14:paraId="0BEF667F" w14:textId="77777777" w:rsidR="00EE16ED" w:rsidRPr="00443D94" w:rsidRDefault="00EE16ED" w:rsidP="008049E2">
      <w:pPr>
        <w:spacing w:line="240" w:lineRule="auto"/>
        <w:jc w:val="both"/>
        <w:rPr>
          <w:rFonts w:ascii="Times New Roman" w:eastAsia="Arial" w:hAnsi="Times New Roman"/>
          <w:b/>
          <w:iCs/>
          <w:sz w:val="24"/>
          <w:lang w:val="mn-MN"/>
        </w:rPr>
      </w:pPr>
      <w:r w:rsidRPr="00443D94">
        <w:rPr>
          <w:rFonts w:ascii="Times New Roman" w:eastAsia="Arial" w:hAnsi="Times New Roman"/>
          <w:b/>
          <w:iCs/>
          <w:sz w:val="24"/>
          <w:lang w:val="mn-MN"/>
        </w:rPr>
        <w:t>Залуу сонгогчдын үйл байдалд нөлөөлж буй зарим хүчин зүйлс</w:t>
      </w:r>
    </w:p>
    <w:p w14:paraId="1C5FA50B" w14:textId="77777777" w:rsidR="00F73F4E" w:rsidRPr="00443D94" w:rsidRDefault="00F73F4E" w:rsidP="008049E2">
      <w:pPr>
        <w:spacing w:line="240" w:lineRule="auto"/>
        <w:jc w:val="both"/>
        <w:rPr>
          <w:rFonts w:ascii="Times New Roman" w:eastAsia="Arial" w:hAnsi="Times New Roman"/>
          <w:sz w:val="24"/>
          <w:lang w:val="mn-MN"/>
        </w:rPr>
      </w:pPr>
    </w:p>
    <w:p w14:paraId="7A3BBBAC" w14:textId="21D2504F" w:rsidR="00EE16ED" w:rsidRPr="00443D94" w:rsidRDefault="00EE16ED" w:rsidP="008049E2">
      <w:pPr>
        <w:spacing w:line="240" w:lineRule="auto"/>
        <w:jc w:val="both"/>
        <w:rPr>
          <w:rFonts w:ascii="Times New Roman" w:eastAsia="Arial" w:hAnsi="Times New Roman"/>
          <w:sz w:val="24"/>
          <w:lang w:val="mn-MN"/>
        </w:rPr>
      </w:pPr>
      <w:r w:rsidRPr="00443D94">
        <w:rPr>
          <w:rFonts w:ascii="Times New Roman" w:eastAsia="Arial" w:hAnsi="Times New Roman"/>
          <w:sz w:val="24"/>
          <w:lang w:val="mn-MN"/>
        </w:rPr>
        <w:t xml:space="preserve">Судлаачид дэлхий даяар улс төрийн чухал оролцоо болох сонгуулийн ирц буурч байгааг онцлох болов. 1945-2010 он хүртэлх Европ, Америк, Ази, Африкийн улс орнуудын сонгуулийн ирцийн хувийг харьцуулсан бөгөөд 1980-аад оны дунд үеэс эхлэн ардчиллын өмнө тулгарч буй хамгийн том сорилтуудын нэг гэж тодорхойлсон байна (Pinter, 2021). Сонгуулийн оролцоонд нөлөөлж буй хүчин зүйлсийг тодорхойлсон олон эмпирик судалгаа байдаг. Тэдгээр нь өөр хоорондоо харилцан адилгүй гэсэн дүгнэлт гарсан бөгөөд үүнд соёл, эрх зүйн орчин, нийгмийн анги давхраа, үндэс угсаа, шашин шүтлэг, үзэл бодол гэх мэтчилэн нийгмийн голлох үзүүлэлтүүд багтжээ. Эндээс бид бүхэн хувь хүн ба бүлэгт чиглэсэн хүчин зүйл болон хэвлэл мэдээллийн орчныг авч үзэж болно. Эдгээр хүчин зүйлст улс төрийн боловсрол, сонирхол, намын харъяалал, итгэл үнэмшил, улс төрийн оролцоо багтдаг. </w:t>
      </w:r>
    </w:p>
    <w:p w14:paraId="609BB5C3" w14:textId="77777777" w:rsidR="00EE16ED" w:rsidRPr="00443D94" w:rsidRDefault="00EE16ED" w:rsidP="008049E2">
      <w:pPr>
        <w:numPr>
          <w:ilvl w:val="0"/>
          <w:numId w:val="29"/>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bCs/>
          <w:i/>
          <w:iCs/>
          <w:color w:val="000000"/>
          <w:sz w:val="24"/>
          <w:lang w:val="mn-MN"/>
        </w:rPr>
        <w:t>Улс төрийн боловсрол</w:t>
      </w:r>
      <w:r w:rsidRPr="00443D94">
        <w:rPr>
          <w:rFonts w:ascii="Times New Roman" w:eastAsia="Arial" w:hAnsi="Times New Roman"/>
          <w:b/>
          <w:color w:val="000000"/>
          <w:sz w:val="24"/>
          <w:lang w:val="mn-MN"/>
        </w:rPr>
        <w:t xml:space="preserve"> </w:t>
      </w:r>
      <w:r w:rsidRPr="00443D94">
        <w:rPr>
          <w:rFonts w:ascii="Times New Roman" w:eastAsia="Arial" w:hAnsi="Times New Roman"/>
          <w:color w:val="000000"/>
          <w:sz w:val="24"/>
          <w:lang w:val="mn-MN"/>
        </w:rPr>
        <w:t xml:space="preserve">нь улс төрийн үйл ажиллагаанд идэвхтэй оролцох, үзэл бодлоо илэрхийлэх, намын мөрийн хөтөлбөрийн хэрэгжилтэд анхаарал хандуулах зэрэг үйл ажиллагааны урьдач нөхцөл болдог. </w:t>
      </w:r>
    </w:p>
    <w:p w14:paraId="5098D27B" w14:textId="77777777" w:rsidR="00EE16ED" w:rsidRPr="00443D94" w:rsidRDefault="00EE16ED" w:rsidP="008049E2">
      <w:pPr>
        <w:numPr>
          <w:ilvl w:val="0"/>
          <w:numId w:val="29"/>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bCs/>
          <w:i/>
          <w:iCs/>
          <w:color w:val="000000"/>
          <w:sz w:val="24"/>
          <w:lang w:val="mn-MN"/>
        </w:rPr>
        <w:t>Улс төрийн үр ашиг</w:t>
      </w:r>
      <w:r w:rsidRPr="00443D94">
        <w:rPr>
          <w:rFonts w:ascii="Times New Roman" w:eastAsia="Arial" w:hAnsi="Times New Roman"/>
          <w:b/>
          <w:color w:val="000000"/>
          <w:sz w:val="24"/>
          <w:lang w:val="mn-MN"/>
        </w:rPr>
        <w:t xml:space="preserve"> </w:t>
      </w:r>
      <w:r w:rsidRPr="00443D94">
        <w:rPr>
          <w:rFonts w:ascii="Times New Roman" w:eastAsia="Arial" w:hAnsi="Times New Roman"/>
          <w:color w:val="000000"/>
          <w:sz w:val="24"/>
          <w:lang w:val="mn-MN"/>
        </w:rPr>
        <w:t xml:space="preserve">нь улс төрийн үйл ажиллагаанд оролцогч талын сэтгэл зүйн чухал үзүүлэлт бөгөөд улс төрд оролцсоноор ямар үр дүн, өөрчлөлт гарахыг тодорхойлж өгдөг. </w:t>
      </w:r>
    </w:p>
    <w:p w14:paraId="11CF8DF5" w14:textId="77777777" w:rsidR="00EE16ED" w:rsidRPr="00443D94" w:rsidRDefault="00EE16ED" w:rsidP="008049E2">
      <w:pPr>
        <w:numPr>
          <w:ilvl w:val="0"/>
          <w:numId w:val="29"/>
        </w:numPr>
        <w:pBdr>
          <w:top w:val="nil"/>
          <w:left w:val="nil"/>
          <w:bottom w:val="nil"/>
          <w:right w:val="nil"/>
          <w:between w:val="nil"/>
        </w:pBdr>
        <w:spacing w:line="240" w:lineRule="auto"/>
        <w:jc w:val="both"/>
        <w:rPr>
          <w:rFonts w:ascii="Times New Roman" w:eastAsia="Arial" w:hAnsi="Times New Roman"/>
          <w:color w:val="000000"/>
          <w:sz w:val="24"/>
          <w:lang w:val="mn-MN"/>
        </w:rPr>
      </w:pPr>
      <w:r w:rsidRPr="00443D94">
        <w:rPr>
          <w:rFonts w:ascii="Times New Roman" w:eastAsia="Arial" w:hAnsi="Times New Roman"/>
          <w:bCs/>
          <w:i/>
          <w:iCs/>
          <w:color w:val="000000"/>
          <w:sz w:val="24"/>
          <w:lang w:val="mn-MN"/>
        </w:rPr>
        <w:t>Улс төрийн итгэл үнэмшил</w:t>
      </w:r>
      <w:r w:rsidRPr="00443D94">
        <w:rPr>
          <w:rFonts w:ascii="Times New Roman" w:eastAsia="Arial" w:hAnsi="Times New Roman"/>
          <w:b/>
          <w:color w:val="000000"/>
          <w:sz w:val="24"/>
          <w:lang w:val="mn-MN"/>
        </w:rPr>
        <w:t xml:space="preserve"> </w:t>
      </w:r>
      <w:r w:rsidRPr="00443D94">
        <w:rPr>
          <w:rFonts w:ascii="Times New Roman" w:eastAsia="Arial" w:hAnsi="Times New Roman"/>
          <w:color w:val="000000"/>
          <w:sz w:val="24"/>
          <w:lang w:val="mn-MN"/>
        </w:rPr>
        <w:t xml:space="preserve">нь төр, эрх чөлөө, улс төрийн систем зэргийн асуултад хариулт өгч чаддаг болоход нөлөөлөхийн сацуу бие хүний сонгуулийн үйл явцад анхаарахад хүргэдэг байна. </w:t>
      </w:r>
    </w:p>
    <w:p w14:paraId="6285983D" w14:textId="77777777" w:rsidR="00EE16ED" w:rsidRPr="00443D94" w:rsidRDefault="00EE16ED" w:rsidP="008049E2">
      <w:pPr>
        <w:spacing w:line="240" w:lineRule="auto"/>
        <w:ind w:firstLine="720"/>
        <w:jc w:val="both"/>
        <w:rPr>
          <w:rFonts w:ascii="Times New Roman" w:hAnsi="Times New Roman"/>
          <w:noProof/>
          <w:color w:val="000000"/>
          <w:spacing w:val="-3"/>
          <w:sz w:val="24"/>
          <w:lang w:val="mn-MN"/>
        </w:rPr>
      </w:pPr>
      <w:r w:rsidRPr="00443D94">
        <w:rPr>
          <w:rFonts w:ascii="Times New Roman" w:eastAsia="Arial" w:hAnsi="Times New Roman"/>
          <w:sz w:val="24"/>
          <w:lang w:val="mn-MN"/>
        </w:rPr>
        <w:t xml:space="preserve">Түүнчлэн хэвлэл мэдээллийн орчин улс төрийн үйл ажиллагаа ялангуяа сонгуулийн үйл явцад чухал бүрэлдэхүүн хэсэг болдог. Хэвлэл мэдээллийн хэрэгсэл олширсон нь улс төрийн тухай зарим буруу ойлголтыг олон нийтэд түгээж, сонгуулийн ирцэд сөргөөр нөлөөлсөн тухай судлаачид үзэх болсон (Patterson, 2009) байна. Танин мэдэхүйн онолоор сонгуулийн мэдээллийг ойлгох, боловсруулахад анх удаа сонгууль өгсөн залуу сонгогчдын хувьд хэт их ачаалал авдаг тул дараагийн сонгуульд оролцох идэвх буурдаг гэж үзжээ. Сонин, хэвлэмэл мэдээ зэрэг уламжлалт хэрэгслээс мэдээлэл авах олон нийт багасч цахим мэдээллийн хэрэгслээр дамжуулан мэдээллийг авах болсон ч улс төрийн мэдээлэлд анхаарах хүмүүсийн тоо буурсан үзүүлэлттэй байна. </w:t>
      </w:r>
      <w:r w:rsidRPr="00443D94">
        <w:rPr>
          <w:rFonts w:ascii="Times New Roman" w:hAnsi="Times New Roman"/>
          <w:bCs/>
          <w:noProof/>
          <w:spacing w:val="-2"/>
          <w:sz w:val="24"/>
          <w:lang w:val="mn-MN"/>
        </w:rPr>
        <w:t>Дэлхий дахинд сонгуулийн оролцооны бууралтын байдал ажиглагддаг</w:t>
      </w:r>
      <w:sdt>
        <w:sdtPr>
          <w:rPr>
            <w:rFonts w:ascii="Times New Roman" w:hAnsi="Times New Roman"/>
            <w:bCs/>
            <w:noProof/>
            <w:spacing w:val="-2"/>
            <w:sz w:val="24"/>
            <w:lang w:val="mn-MN"/>
          </w:rPr>
          <w:id w:val="-431829966"/>
          <w:citation/>
        </w:sdtPr>
        <w:sdtContent>
          <w:r w:rsidRPr="00443D94">
            <w:rPr>
              <w:rFonts w:ascii="Times New Roman" w:hAnsi="Times New Roman"/>
              <w:bCs/>
              <w:noProof/>
              <w:spacing w:val="-2"/>
              <w:sz w:val="24"/>
              <w:lang w:val="mn-MN"/>
            </w:rPr>
            <w:fldChar w:fldCharType="begin"/>
          </w:r>
          <w:r w:rsidRPr="00443D94">
            <w:rPr>
              <w:rFonts w:ascii="Times New Roman" w:hAnsi="Times New Roman"/>
              <w:bCs/>
              <w:noProof/>
              <w:spacing w:val="-2"/>
              <w:sz w:val="24"/>
              <w:lang w:val="mn-MN"/>
            </w:rPr>
            <w:instrText xml:space="preserve">CITATION БЭр \l 1104 </w:instrText>
          </w:r>
          <w:r w:rsidRPr="00443D94">
            <w:rPr>
              <w:rFonts w:ascii="Times New Roman" w:hAnsi="Times New Roman"/>
              <w:bCs/>
              <w:noProof/>
              <w:spacing w:val="-2"/>
              <w:sz w:val="24"/>
              <w:lang w:val="mn-MN"/>
            </w:rPr>
            <w:fldChar w:fldCharType="separate"/>
          </w:r>
          <w:r w:rsidRPr="00443D94">
            <w:rPr>
              <w:rFonts w:ascii="Times New Roman" w:hAnsi="Times New Roman"/>
              <w:bCs/>
              <w:noProof/>
              <w:spacing w:val="-2"/>
              <w:sz w:val="24"/>
              <w:lang w:val="mn-MN"/>
            </w:rPr>
            <w:t xml:space="preserve"> </w:t>
          </w:r>
          <w:r w:rsidRPr="00443D94">
            <w:rPr>
              <w:rFonts w:ascii="Times New Roman" w:hAnsi="Times New Roman"/>
              <w:noProof/>
              <w:spacing w:val="-2"/>
              <w:sz w:val="24"/>
              <w:lang w:val="mn-MN"/>
            </w:rPr>
            <w:t>(Б.Эрдэнэдалай)</w:t>
          </w:r>
          <w:r w:rsidRPr="00443D94">
            <w:rPr>
              <w:rFonts w:ascii="Times New Roman" w:hAnsi="Times New Roman"/>
              <w:bCs/>
              <w:noProof/>
              <w:spacing w:val="-2"/>
              <w:sz w:val="24"/>
              <w:lang w:val="mn-MN"/>
            </w:rPr>
            <w:fldChar w:fldCharType="end"/>
          </w:r>
        </w:sdtContent>
      </w:sdt>
      <w:r w:rsidRPr="00443D94">
        <w:rPr>
          <w:rFonts w:ascii="Times New Roman" w:hAnsi="Times New Roman"/>
          <w:bCs/>
          <w:noProof/>
          <w:spacing w:val="-2"/>
          <w:sz w:val="24"/>
          <w:lang w:val="mn-MN"/>
        </w:rPr>
        <w:t xml:space="preserve">. </w:t>
      </w:r>
      <w:r w:rsidRPr="00443D94">
        <w:rPr>
          <w:rFonts w:ascii="Times New Roman" w:hAnsi="Times New Roman"/>
          <w:noProof/>
          <w:color w:val="000000"/>
          <w:spacing w:val="-2"/>
          <w:sz w:val="24"/>
          <w:lang w:val="mn-MN"/>
        </w:rPr>
        <w:t xml:space="preserve">Улс төрийг огт сонирхдоггүй нэг хэсэг байхад, амлалтад үл </w:t>
      </w:r>
      <w:r w:rsidRPr="00443D94">
        <w:rPr>
          <w:rFonts w:ascii="Times New Roman" w:hAnsi="Times New Roman"/>
          <w:noProof/>
          <w:color w:val="000000"/>
          <w:spacing w:val="4"/>
          <w:sz w:val="24"/>
          <w:lang w:val="mn-MN"/>
        </w:rPr>
        <w:t>итгэх хүмүүс олон байдаг.</w:t>
      </w:r>
      <w:r w:rsidRPr="00443D94">
        <w:rPr>
          <w:rFonts w:ascii="Times New Roman" w:hAnsi="Times New Roman"/>
          <w:sz w:val="24"/>
          <w:lang w:val="mn-MN"/>
        </w:rPr>
        <w:t xml:space="preserve"> Сонгогчид улс төрийн цөөн тооны тодорхой асуудалд анхаарлаа хандуулдаг. Тиймдээ ч засгийн газрын үйл ажиллагаа, намын бодлого, нэр дэвшигчдийн байр суурийг өөр өөрөөр үнэлж, олон бүлэгт хуваадаг. Ингэж үнэлэхдээ сонгогчид социал бүлгийн хамаарал, намын харъяаллаа үндэслэн өөрсдийн байр суурийг тодорхойлдог. Гэвч </w:t>
      </w:r>
      <w:r w:rsidRPr="00443D94">
        <w:rPr>
          <w:rFonts w:ascii="Times New Roman" w:hAnsi="Times New Roman"/>
          <w:noProof/>
          <w:color w:val="000000"/>
          <w:spacing w:val="-3"/>
          <w:sz w:val="24"/>
          <w:lang w:val="mn-MN"/>
        </w:rPr>
        <w:t>иргэд янз бүрийн шалтгаанаар сонгуульд оролцдоггүй</w:t>
      </w:r>
      <w:r w:rsidRPr="00443D94">
        <w:rPr>
          <w:rFonts w:ascii="Times New Roman" w:hAnsi="Times New Roman"/>
          <w:noProof/>
          <w:color w:val="000000"/>
          <w:spacing w:val="-2"/>
          <w:sz w:val="24"/>
          <w:lang w:val="mn-MN"/>
        </w:rPr>
        <w:t xml:space="preserve"> бөгөөд </w:t>
      </w:r>
      <w:r w:rsidRPr="00443D94">
        <w:rPr>
          <w:rFonts w:ascii="Times New Roman" w:hAnsi="Times New Roman"/>
          <w:noProof/>
          <w:color w:val="000000"/>
          <w:spacing w:val="10"/>
          <w:sz w:val="24"/>
          <w:lang w:val="mn-MN"/>
        </w:rPr>
        <w:t xml:space="preserve">сонгуулийн санал хураалтад сонгогчид оролцохоос </w:t>
      </w:r>
      <w:r w:rsidRPr="00443D94">
        <w:rPr>
          <w:rFonts w:ascii="Times New Roman" w:hAnsi="Times New Roman"/>
          <w:noProof/>
          <w:color w:val="000000"/>
          <w:spacing w:val="-3"/>
          <w:sz w:val="24"/>
          <w:lang w:val="mn-MN"/>
        </w:rPr>
        <w:t>зайлсхийсэн үйлдэл хийдэг</w:t>
      </w:r>
      <w:r w:rsidRPr="00443D94">
        <w:rPr>
          <w:rStyle w:val="FootnoteReference"/>
          <w:rFonts w:ascii="Times New Roman" w:hAnsi="Times New Roman"/>
          <w:noProof/>
          <w:color w:val="000000"/>
          <w:spacing w:val="-3"/>
          <w:sz w:val="24"/>
          <w:lang w:val="mn-MN"/>
        </w:rPr>
        <w:footnoteReference w:id="4"/>
      </w:r>
      <w:r w:rsidRPr="00443D94">
        <w:rPr>
          <w:rFonts w:ascii="Times New Roman" w:hAnsi="Times New Roman"/>
          <w:noProof/>
          <w:color w:val="000000"/>
          <w:spacing w:val="-3"/>
          <w:sz w:val="24"/>
          <w:lang w:val="mn-MN"/>
        </w:rPr>
        <w:t>. 2024 оны АНУ-ын Ерөнхийлөгчийн сонгуулийн үеэр залуу сонгогчдын 44 хувь нь нэр дэвшигчдэд болон тэдний кампанит ажилд анхаарлаа огт хандуулаагүй байна. Харин өөрсдөд нь хамаарах асуудлуудыг шийдвэрлэх мөрийн хөтөлбөртэй нэр дэвшигчийг сонгодог гэжээ. Гэвч энэ жил залуучуудын сонгуулийн оролцоо эрс буурсан үзүүлэлттэй гарсан. 2020 оны АНУ-ын Ерөнхийлөгчийн сонгуульд 18-29 насны залуучуудын 50-иас дээш хувь нь саналаа өгсөн ч 2024 онд 42 хувь нь санал өгсөн байна. Залуу сонгогчдын оролцоо эрс буурсан шалтгааныг тодруулахад 36 хувь нь</w:t>
      </w:r>
      <w:r w:rsidRPr="00443D94">
        <w:rPr>
          <w:rFonts w:ascii="Times New Roman" w:hAnsi="Times New Roman"/>
          <w:i/>
          <w:iCs/>
          <w:noProof/>
          <w:color w:val="000000"/>
          <w:spacing w:val="-3"/>
          <w:sz w:val="24"/>
          <w:lang w:val="mn-MN"/>
        </w:rPr>
        <w:t xml:space="preserve"> өөрт нь чухал биш</w:t>
      </w:r>
      <w:r w:rsidRPr="00443D94">
        <w:rPr>
          <w:rFonts w:ascii="Times New Roman" w:hAnsi="Times New Roman"/>
          <w:noProof/>
          <w:color w:val="000000"/>
          <w:spacing w:val="-3"/>
          <w:sz w:val="24"/>
          <w:lang w:val="mn-MN"/>
        </w:rPr>
        <w:t xml:space="preserve"> гэсэн хариулт өгчээ.</w:t>
      </w:r>
    </w:p>
    <w:p w14:paraId="3A2E4AC1" w14:textId="77777777" w:rsidR="00EE16ED" w:rsidRPr="00443D94" w:rsidRDefault="00EE16ED" w:rsidP="008049E2">
      <w:pPr>
        <w:spacing w:line="240" w:lineRule="auto"/>
        <w:jc w:val="both"/>
        <w:rPr>
          <w:rFonts w:ascii="Times New Roman" w:eastAsia="Arial" w:hAnsi="Times New Roman"/>
          <w:sz w:val="24"/>
          <w:lang w:val="mn-MN"/>
        </w:rPr>
      </w:pPr>
      <w:r w:rsidRPr="00443D94">
        <w:rPr>
          <w:rFonts w:ascii="Times New Roman" w:eastAsia="Arial" w:hAnsi="Times New Roman"/>
          <w:sz w:val="24"/>
          <w:lang w:val="mn-MN"/>
        </w:rPr>
        <w:t xml:space="preserve"> </w:t>
      </w:r>
      <w:r w:rsidRPr="00443D94">
        <w:rPr>
          <w:rFonts w:ascii="Times New Roman" w:eastAsia="Arial" w:hAnsi="Times New Roman"/>
          <w:sz w:val="24"/>
          <w:lang w:val="mn-MN"/>
        </w:rPr>
        <w:tab/>
        <w:t>Сонгогчдын сонголтод нөлөөлж буй үндсэн хүчин зүйлсийг:</w:t>
      </w:r>
    </w:p>
    <w:p w14:paraId="1CF6ABDA" w14:textId="77777777" w:rsidR="00EE16ED" w:rsidRPr="00443D94" w:rsidRDefault="00EE16ED" w:rsidP="008049E2">
      <w:pPr>
        <w:spacing w:line="240" w:lineRule="auto"/>
        <w:jc w:val="both"/>
        <w:rPr>
          <w:rFonts w:ascii="Times New Roman" w:eastAsia="Arial" w:hAnsi="Times New Roman"/>
          <w:sz w:val="24"/>
          <w:lang w:val="mn-MN"/>
        </w:rPr>
      </w:pPr>
      <w:r w:rsidRPr="00443D94">
        <w:rPr>
          <w:rFonts w:ascii="Times New Roman" w:eastAsia="Arial" w:hAnsi="Times New Roman"/>
          <w:sz w:val="24"/>
          <w:lang w:val="mn-MN"/>
        </w:rPr>
        <w:t>1.Богино хугацааны хүчин зүйлс- улс төр, эдийн засгийн тухайн нөхцөл, улс төрийн лидерийн имиж, сонгуулийн кампани гэх мэт.</w:t>
      </w:r>
    </w:p>
    <w:p w14:paraId="3E2B8697" w14:textId="77777777" w:rsidR="00EE16ED" w:rsidRPr="00443D94" w:rsidRDefault="00EE16ED" w:rsidP="008049E2">
      <w:pPr>
        <w:spacing w:line="240" w:lineRule="auto"/>
        <w:jc w:val="both"/>
        <w:rPr>
          <w:rFonts w:ascii="Times New Roman" w:eastAsia="Arial" w:hAnsi="Times New Roman"/>
          <w:color w:val="FF0000"/>
          <w:sz w:val="24"/>
          <w:lang w:val="mn-MN"/>
        </w:rPr>
      </w:pPr>
      <w:r w:rsidRPr="00443D94">
        <w:rPr>
          <w:rFonts w:ascii="Times New Roman" w:eastAsia="Arial" w:hAnsi="Times New Roman"/>
          <w:sz w:val="24"/>
          <w:lang w:val="mn-MN"/>
        </w:rPr>
        <w:t xml:space="preserve">2.Урт хугацааны хүчин зүйлс- социал бүлгийн ялгаа, үзэл бодол, намын харъяалал, үнэт зүйлсийн баримжаа зэргээр ангилан үздэг. </w:t>
      </w:r>
    </w:p>
    <w:p w14:paraId="26D711C5" w14:textId="77777777" w:rsidR="00EE16ED" w:rsidRPr="00443D94" w:rsidRDefault="00EE16ED" w:rsidP="008049E2">
      <w:pPr>
        <w:spacing w:line="240" w:lineRule="auto"/>
        <w:jc w:val="both"/>
        <w:rPr>
          <w:rFonts w:ascii="Times New Roman" w:eastAsia="Arial" w:hAnsi="Times New Roman"/>
          <w:sz w:val="24"/>
          <w:lang w:val="mn-MN"/>
        </w:rPr>
      </w:pPr>
      <w:r w:rsidRPr="00443D94">
        <w:rPr>
          <w:rFonts w:ascii="Times New Roman" w:eastAsia="Arial" w:hAnsi="Times New Roman"/>
          <w:sz w:val="24"/>
          <w:lang w:val="mn-MN"/>
        </w:rPr>
        <w:t xml:space="preserve">         Орчин үед сонгогчдын шийдвэр гаргалтад нөлөөлдөг гол хүчин зүйлсийг нийгэм-эдийн засгийн байдал, бие хүний онцлог хэв шинж, хэвлэлийн нөлөө, улс төрийн хүчин зүйлс зэрэг макро түвшинд хуваан авч үзэж байгаа бөгөөд эдгээрийг дотор нь нарийвчлан задалж орлогын түвшин, боловсролын түвшин, нас, хүйс, улс төрийн үзэл суртал, бие хүний хэв шинж, сэтгэл хөдлөлийн оюун ухаан, уур амьсгалын өөрчлөлтийн тухай асуудлууд, эрүүл мэнд, нийгмийн бүлэг, угсаа гарал, арьс өнгө, шашин шүтлэг, нийгмийн сүлжээ, улс төрийн үзэл суртал, намын харъяалал гэх мэтээр авч үзэх болжээ. Нэр дэвшигчид сонгуулийн кампанит ажлаараа зорилтот бүлэг рүү чиглэсэн сурталчилгаа, сонгогчидтой шууд харилцах, мөрийн хөтөлбөрөө танилцуулах олон талт үйл ажиллагааг зохион байгуулж сонгогчдод нөлөөлж зорилгодоо хүрсэн хэвээр байна</w:t>
      </w:r>
      <w:sdt>
        <w:sdtPr>
          <w:rPr>
            <w:rFonts w:ascii="Times New Roman" w:eastAsia="Arial" w:hAnsi="Times New Roman"/>
            <w:sz w:val="24"/>
            <w:lang w:val="mn-MN"/>
          </w:rPr>
          <w:id w:val="-698082301"/>
          <w:citation/>
        </w:sdtPr>
        <w:sdtContent>
          <w:r w:rsidRPr="00443D94">
            <w:rPr>
              <w:rFonts w:ascii="Times New Roman" w:eastAsia="Arial" w:hAnsi="Times New Roman"/>
              <w:sz w:val="24"/>
              <w:lang w:val="mn-MN"/>
            </w:rPr>
            <w:fldChar w:fldCharType="begin"/>
          </w:r>
          <w:r w:rsidRPr="00443D94">
            <w:rPr>
              <w:rFonts w:ascii="Times New Roman" w:eastAsia="Arial" w:hAnsi="Times New Roman"/>
              <w:sz w:val="24"/>
              <w:lang w:val="mn-MN"/>
            </w:rPr>
            <w:instrText xml:space="preserve"> CITATION Kah02 \l 1033 </w:instrText>
          </w:r>
          <w:r w:rsidRPr="00443D94">
            <w:rPr>
              <w:rFonts w:ascii="Times New Roman" w:eastAsia="Arial" w:hAnsi="Times New Roman"/>
              <w:sz w:val="24"/>
              <w:lang w:val="mn-MN"/>
            </w:rPr>
            <w:fldChar w:fldCharType="separate"/>
          </w:r>
          <w:r w:rsidRPr="00443D94">
            <w:rPr>
              <w:rFonts w:ascii="Times New Roman" w:eastAsia="Arial" w:hAnsi="Times New Roman"/>
              <w:noProof/>
              <w:sz w:val="24"/>
              <w:lang w:val="mn-MN"/>
            </w:rPr>
            <w:t xml:space="preserve"> (Kahn, Kim Fridkin and Patrick J Kenney , 2002)</w:t>
          </w:r>
          <w:r w:rsidRPr="00443D94">
            <w:rPr>
              <w:rFonts w:ascii="Times New Roman" w:eastAsia="Arial" w:hAnsi="Times New Roman"/>
              <w:sz w:val="24"/>
              <w:lang w:val="mn-MN"/>
            </w:rPr>
            <w:fldChar w:fldCharType="end"/>
          </w:r>
        </w:sdtContent>
      </w:sdt>
      <w:r w:rsidRPr="00443D94">
        <w:rPr>
          <w:rFonts w:ascii="Times New Roman" w:eastAsia="Arial" w:hAnsi="Times New Roman"/>
          <w:sz w:val="24"/>
          <w:lang w:val="mn-MN"/>
        </w:rPr>
        <w:t xml:space="preserve">. Түүнчлэн сонгогчдын нас санал өгөх, сонгуульд оролцох шийдвэр гаргалтад чухал нөлөө үзүүлдэг бөгөөд насны үечлэл бүрт ялгаатай байдал ажиглагддаг болохыг тогтоожээ. Судалгаанаас үзэхэд залуу сонгогчид нэр дэвшигчдийн мөрийн хөтөлбөрөөс гадна хэрэгжилт, нийгмийн асуудалд хэрхэн байр сууриа илэрхийлдэг зэргийг голчлон хардаг байна </w:t>
      </w:r>
      <w:sdt>
        <w:sdtPr>
          <w:rPr>
            <w:rFonts w:ascii="Times New Roman" w:eastAsia="Arial" w:hAnsi="Times New Roman"/>
            <w:sz w:val="24"/>
            <w:lang w:val="mn-MN"/>
          </w:rPr>
          <w:id w:val="1876655854"/>
          <w:citation/>
        </w:sdtPr>
        <w:sdtContent>
          <w:r w:rsidRPr="00443D94">
            <w:rPr>
              <w:rFonts w:ascii="Times New Roman" w:eastAsia="Arial" w:hAnsi="Times New Roman"/>
              <w:sz w:val="24"/>
              <w:lang w:val="mn-MN"/>
            </w:rPr>
            <w:fldChar w:fldCharType="begin"/>
          </w:r>
          <w:r w:rsidRPr="00443D94">
            <w:rPr>
              <w:rFonts w:ascii="Times New Roman" w:eastAsia="Arial" w:hAnsi="Times New Roman"/>
              <w:sz w:val="24"/>
              <w:lang w:val="mn-MN"/>
            </w:rPr>
            <w:instrText xml:space="preserve"> CITATION Bla04 \l 1033 </w:instrText>
          </w:r>
          <w:r w:rsidRPr="00443D94">
            <w:rPr>
              <w:rFonts w:ascii="Times New Roman" w:eastAsia="Arial" w:hAnsi="Times New Roman"/>
              <w:sz w:val="24"/>
              <w:lang w:val="mn-MN"/>
            </w:rPr>
            <w:fldChar w:fldCharType="separate"/>
          </w:r>
          <w:r w:rsidRPr="00443D94">
            <w:rPr>
              <w:rFonts w:ascii="Times New Roman" w:eastAsia="Arial" w:hAnsi="Times New Roman"/>
              <w:noProof/>
              <w:sz w:val="24"/>
              <w:lang w:val="mn-MN"/>
            </w:rPr>
            <w:t>(Blais, 2004)</w:t>
          </w:r>
          <w:r w:rsidRPr="00443D94">
            <w:rPr>
              <w:rFonts w:ascii="Times New Roman" w:eastAsia="Arial" w:hAnsi="Times New Roman"/>
              <w:sz w:val="24"/>
              <w:lang w:val="mn-MN"/>
            </w:rPr>
            <w:fldChar w:fldCharType="end"/>
          </w:r>
        </w:sdtContent>
      </w:sdt>
      <w:r w:rsidRPr="00443D94">
        <w:rPr>
          <w:rFonts w:ascii="Times New Roman" w:eastAsia="Arial" w:hAnsi="Times New Roman"/>
          <w:sz w:val="24"/>
          <w:lang w:val="mn-MN"/>
        </w:rPr>
        <w:t xml:space="preserve">. </w:t>
      </w:r>
    </w:p>
    <w:p w14:paraId="23D16DE9" w14:textId="77777777" w:rsidR="00EE16ED" w:rsidRPr="00443D94" w:rsidRDefault="00EE16ED" w:rsidP="008049E2">
      <w:pPr>
        <w:shd w:val="clear" w:color="auto" w:fill="FFFFFF"/>
        <w:spacing w:line="240" w:lineRule="auto"/>
        <w:ind w:left="25" w:right="68" w:firstLine="695"/>
        <w:jc w:val="both"/>
        <w:rPr>
          <w:rFonts w:ascii="Times New Roman" w:eastAsia="Arial" w:hAnsi="Times New Roman"/>
          <w:sz w:val="24"/>
          <w:lang w:val="mn-MN"/>
        </w:rPr>
      </w:pPr>
      <w:r w:rsidRPr="00443D94">
        <w:rPr>
          <w:rFonts w:ascii="Times New Roman" w:hAnsi="Times New Roman"/>
          <w:noProof/>
          <w:color w:val="000000"/>
          <w:spacing w:val="4"/>
          <w:sz w:val="24"/>
          <w:lang w:val="mn-MN"/>
        </w:rPr>
        <w:t>Австри, Бельги, Голланд, Латин Америкийн орнуудад сонгуульд</w:t>
      </w:r>
      <w:r w:rsidRPr="00443D94">
        <w:rPr>
          <w:rFonts w:ascii="Times New Roman" w:hAnsi="Times New Roman"/>
          <w:sz w:val="24"/>
          <w:lang w:val="mn-MN"/>
        </w:rPr>
        <w:t xml:space="preserve"> </w:t>
      </w:r>
      <w:r w:rsidRPr="00443D94">
        <w:rPr>
          <w:rFonts w:ascii="Times New Roman" w:hAnsi="Times New Roman"/>
          <w:noProof/>
          <w:color w:val="000000"/>
          <w:spacing w:val="1"/>
          <w:sz w:val="24"/>
          <w:lang w:val="mn-MN"/>
        </w:rPr>
        <w:t xml:space="preserve">иргэдийг зайлшгүй оролцохыг албан ёсоор шаарддаг. </w:t>
      </w:r>
      <w:r w:rsidRPr="00443D94">
        <w:rPr>
          <w:rFonts w:ascii="Times New Roman" w:hAnsi="Times New Roman"/>
          <w:noProof/>
          <w:color w:val="000000"/>
          <w:spacing w:val="-4"/>
          <w:sz w:val="24"/>
          <w:lang w:val="mn-MN"/>
        </w:rPr>
        <w:t xml:space="preserve">Австрали улсад санал </w:t>
      </w:r>
      <w:r w:rsidRPr="00443D94">
        <w:rPr>
          <w:rFonts w:ascii="Times New Roman" w:hAnsi="Times New Roman"/>
          <w:noProof/>
          <w:color w:val="000000"/>
          <w:spacing w:val="-2"/>
          <w:sz w:val="24"/>
          <w:lang w:val="mn-MN"/>
        </w:rPr>
        <w:t xml:space="preserve">өгөхөөс зайлсхийсэн иргэнд торгууль оногдуулж, торгууль төлөхөөс зайлсхийсэн тохиолдолд шүүхийн шийдвэрээр хатуу арга хэмжээ авдаг байна. </w:t>
      </w:r>
      <w:r w:rsidRPr="00443D94">
        <w:rPr>
          <w:rFonts w:ascii="Times New Roman" w:hAnsi="Times New Roman"/>
          <w:noProof/>
          <w:color w:val="000000"/>
          <w:spacing w:val="-3"/>
          <w:sz w:val="24"/>
          <w:lang w:val="mn-MN"/>
        </w:rPr>
        <w:t xml:space="preserve">Эдгээр оронд сонгуульд санал өгөх нь иргэний хариуцлагатай чухал </w:t>
      </w:r>
      <w:r w:rsidRPr="00443D94">
        <w:rPr>
          <w:rFonts w:ascii="Times New Roman" w:hAnsi="Times New Roman"/>
          <w:noProof/>
          <w:color w:val="000000"/>
          <w:spacing w:val="-5"/>
          <w:sz w:val="24"/>
          <w:lang w:val="mn-MN"/>
        </w:rPr>
        <w:t xml:space="preserve">үүрэг гэж үздэг. </w:t>
      </w:r>
      <w:r w:rsidRPr="00443D94">
        <w:rPr>
          <w:rFonts w:ascii="Times New Roman" w:eastAsia="Arial" w:hAnsi="Times New Roman"/>
          <w:sz w:val="24"/>
          <w:lang w:val="mn-MN"/>
        </w:rPr>
        <w:t xml:space="preserve">АНУ-д залуу сонгогчдын оролцоог нэмэгдүүлэхийн тулд өсвөр үеийнхэн, залуучуудад зориулсан улс төрийн боловсрол олгох кампанит ажлыг улам эрчимжүүлж байна. 2022 оны сонгуульд АНУ-ын нийт залуучуудын 23% нь л санал өгч оролцсон гэх үзүүлэлт гарсан нь хангалтгүй байгаа юм. Энэ нь 4 хүн тутмын 1 нь санал өгсөн үр дүнг зааж байна. Мөн цахим сонгуулийг зохион байгуулах болсон нь сонгуульд зарцуулагдах зардлыг бууруулсан эерэг талтай байгаа ч залуучуудын оролцоог бууруулахад нөлөөлжээ. </w:t>
      </w:r>
    </w:p>
    <w:p w14:paraId="34725817" w14:textId="77777777" w:rsidR="00EE16ED" w:rsidRPr="00443D94" w:rsidRDefault="00EE16ED" w:rsidP="008049E2">
      <w:pPr>
        <w:shd w:val="clear" w:color="auto" w:fill="FFFFFF"/>
        <w:spacing w:line="240" w:lineRule="auto"/>
        <w:ind w:left="4" w:right="7" w:firstLine="716"/>
        <w:jc w:val="both"/>
        <w:rPr>
          <w:rFonts w:ascii="Times New Roman" w:hAnsi="Times New Roman"/>
          <w:sz w:val="24"/>
          <w:lang w:val="mn-MN"/>
        </w:rPr>
      </w:pPr>
      <w:r w:rsidRPr="00443D94">
        <w:rPr>
          <w:rFonts w:ascii="Times New Roman" w:hAnsi="Times New Roman"/>
          <w:sz w:val="24"/>
          <w:lang w:val="mn-MN"/>
        </w:rPr>
        <w:t xml:space="preserve">2021 онд “Z үеийн залуучуудын улс төрийн оролцоог тодорхойлох судалгаа” (Б.Эрдэнэдалай, 2021)-ны 18-25 настай залуучуудтай хийсэн фокус бүлгийн ярилцлагын үр дүнгээс харахад залуучуудын сонгууль болон улс төрийг сонирхдоггүй хэд хэдэн шалтгаан байв. Үүнд: </w:t>
      </w:r>
    </w:p>
    <w:p w14:paraId="21AA3908" w14:textId="77777777" w:rsidR="00EE16ED" w:rsidRPr="00443D94" w:rsidRDefault="00EE16ED" w:rsidP="008049E2">
      <w:pPr>
        <w:pStyle w:val="ListParagraph"/>
        <w:numPr>
          <w:ilvl w:val="0"/>
          <w:numId w:val="2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Улс төрийн талаарх ойлголт муу, улс төрийн нийгэмшлийн агентуудын нөлөө хангалтгүй. </w:t>
      </w:r>
    </w:p>
    <w:p w14:paraId="1A5AB71C" w14:textId="77777777" w:rsidR="00EE16ED" w:rsidRPr="00443D94" w:rsidRDefault="00EE16ED" w:rsidP="008049E2">
      <w:pPr>
        <w:pStyle w:val="ListParagraph"/>
        <w:numPr>
          <w:ilvl w:val="0"/>
          <w:numId w:val="2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Залуучууд сонгуулийн үеэрх нэр дэвшигчид болон намуудын мѳрийн хѳтѳлбѳрийг уншиж танилцдаггүй, энэ талаарх ойлголт байхгүй учраас мөрийн хөтөлбөрийг сонирхдоггүй. </w:t>
      </w:r>
    </w:p>
    <w:p w14:paraId="252F606D" w14:textId="77777777" w:rsidR="00EE16ED" w:rsidRPr="00443D94" w:rsidRDefault="00EE16ED" w:rsidP="008049E2">
      <w:pPr>
        <w:pStyle w:val="ListParagraph"/>
        <w:numPr>
          <w:ilvl w:val="0"/>
          <w:numId w:val="29"/>
        </w:numPr>
        <w:shd w:val="clear" w:color="auto" w:fill="FFFFFF"/>
        <w:spacing w:after="0" w:line="240" w:lineRule="auto"/>
        <w:ind w:right="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Нэр дэвшигчдийн талаарх мэдээлэл ойлгомжгүй, цахим сүлжээн дэх мэдээллийн урсгал хэт их, түүнийг сонирхдоггүй.  </w:t>
      </w:r>
    </w:p>
    <w:p w14:paraId="2592F25E" w14:textId="77777777" w:rsidR="00EE16ED" w:rsidRPr="00443D94" w:rsidRDefault="00EE16ED" w:rsidP="008049E2">
      <w:pPr>
        <w:pStyle w:val="ListParagraph"/>
        <w:numPr>
          <w:ilvl w:val="0"/>
          <w:numId w:val="29"/>
        </w:numPr>
        <w:shd w:val="clear" w:color="auto" w:fill="FFFFFF"/>
        <w:spacing w:after="0" w:line="240" w:lineRule="auto"/>
        <w:ind w:right="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Фэйсбүүкийн орчинд улс төр, сонгуулийн талаарх мэдээлэлд саналаа хэлэх, бичих нээлттэй боловч твиттерт залуучуудын оролцоо бага, хэдий оролцоо байсан ч залуучуудын санал төдийлөн олон нийтэд хүрдэггүй.  </w:t>
      </w:r>
    </w:p>
    <w:p w14:paraId="1168BF8A" w14:textId="77777777" w:rsidR="00EE16ED" w:rsidRPr="00443D94" w:rsidRDefault="00EE16ED" w:rsidP="008049E2">
      <w:pPr>
        <w:pStyle w:val="ListParagraph"/>
        <w:numPr>
          <w:ilvl w:val="0"/>
          <w:numId w:val="29"/>
        </w:numPr>
        <w:shd w:val="clear" w:color="auto" w:fill="FFFFFF"/>
        <w:spacing w:after="0" w:line="240" w:lineRule="auto"/>
        <w:ind w:right="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Сонгуулийн дүн тодорхой байдаг, миний саналын нөлөө байхгүй гэж боддог.</w:t>
      </w:r>
    </w:p>
    <w:p w14:paraId="7A88DE3B" w14:textId="77777777" w:rsidR="00EE16ED" w:rsidRPr="00443D94" w:rsidRDefault="00EE16ED" w:rsidP="008049E2">
      <w:pPr>
        <w:pStyle w:val="ListParagraph"/>
        <w:numPr>
          <w:ilvl w:val="0"/>
          <w:numId w:val="29"/>
        </w:numPr>
        <w:shd w:val="clear" w:color="auto" w:fill="FFFFFF"/>
        <w:spacing w:after="0" w:line="240" w:lineRule="auto"/>
        <w:ind w:right="7"/>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Сонгуульд залуучуудын оролцоо бага гэдгийг хэт их шүүмжилж байгаа нь эргээд залуучуудыг тухайн асуудалд оролцох идэвх, сонирхлыг няцаадаг гэжээ.   </w:t>
      </w:r>
    </w:p>
    <w:p w14:paraId="6FC27A1D" w14:textId="77777777" w:rsidR="00EE16ED" w:rsidRPr="00443D94" w:rsidRDefault="00EE16ED" w:rsidP="008049E2">
      <w:pPr>
        <w:spacing w:line="240" w:lineRule="auto"/>
        <w:ind w:firstLine="720"/>
        <w:jc w:val="both"/>
        <w:rPr>
          <w:rFonts w:ascii="Times New Roman" w:hAnsi="Times New Roman"/>
          <w:color w:val="000000" w:themeColor="text1"/>
          <w:sz w:val="24"/>
          <w:lang w:val="mn-MN"/>
        </w:rPr>
      </w:pPr>
      <w:r w:rsidRPr="00443D94">
        <w:rPr>
          <w:rFonts w:ascii="Times New Roman" w:eastAsia="Arial" w:hAnsi="Times New Roman"/>
          <w:sz w:val="24"/>
          <w:lang w:val="mn-MN"/>
        </w:rPr>
        <w:t xml:space="preserve">Сонгогчдын үйл байдалд “улс төрийн намыг дэмжих” хүчин зүйлийн нөлөө буурахын хэрээр “тодорхой асуудал”–ын үүрэг роль өсөн нэмэгддэг зүй тогтолтойг улс төр судлаачид тодорхойлсон байдаг. </w:t>
      </w:r>
      <w:r w:rsidRPr="00443D94">
        <w:rPr>
          <w:rFonts w:ascii="Times New Roman" w:hAnsi="Times New Roman"/>
          <w:sz w:val="24"/>
          <w:lang w:val="mn-MN"/>
        </w:rPr>
        <w:t>Түүнчлэн залуу сонгогчдын хувьд сонгуульд оролцож саналаа өгөх нь чухал гэж боддог бөгөөд сонгууль болохоос өмнө сонгуульд оролцоно гэдэг ч бодит байдал дээр тэдний оролцоо төдийлөн сайн биш байна</w:t>
      </w:r>
      <w:sdt>
        <w:sdtPr>
          <w:rPr>
            <w:rFonts w:ascii="Times New Roman" w:hAnsi="Times New Roman"/>
            <w:sz w:val="24"/>
            <w:lang w:val="mn-MN"/>
          </w:rPr>
          <w:id w:val="-926577206"/>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CITATION БУя \l 1104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(Б.Уянга, 2021)</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w:t>
      </w:r>
      <w:r w:rsidRPr="00443D94">
        <w:rPr>
          <w:rFonts w:ascii="Times New Roman" w:eastAsia="Arial" w:hAnsi="Times New Roman"/>
          <w:sz w:val="24"/>
          <w:lang w:val="mn-MN"/>
        </w:rPr>
        <w:t xml:space="preserve">Залуу сонгогчдын хувьд мэдээллийг сонирхолтой байдлаар богино хугацаанд авахыг эрмэлздэг тул сошиал медиа платформууд улс төрийн мэдээллийн гол суваг болж байна. Тухайлбал, инстаграм, тикток зэрэг мэдээллийн хэрэгслүүд улс төрийн агуулгыг бүтээлч, хөнгөн хэлбэрээр хүргэх боломж олгодог. Collective voice судалгааны байгууллагын үр дүнгээс үзэхэд сонгогчдын 76% нь нийгмийн сүлжээний нөлөөлөгчдийг аялдан дагаж сонголт хийх хандлагатай гэсэн үр дүнг гаргажээ. Үүнийг зан үйлийн онолд бусдыг аялдан дагалдах үзэгдэл хэмээн сэтгэл судлаачид тайлбарладаг. Түүнчлэн АНУ-ын Pew судалгааны байгууллагын үр дүнгээс үзэхэд нийгмийн сүлжээ ашигладаг 30-аас доош насны залуучуудын 50% нь улс төрийн утга агуулга бүхий мэдээллийг хүлээн авч, уншдаг гэжээ. АНУ-ын 2024 оны ерөнхийлөгчийн сонгуульд нэр дэвшигч Доналд Трамп эдгээр чиг хандлагыг соргогоор ашиглан нийгмийн сүлжээн дэх оролцоогоо нэмэгдүүлж, Логан Пол зэрэг тэргүүлэх контент бүтээгчидтэй хамтран ажилласан. Үүний үр дүнд сүүлийн 30 хоногийн хугацаанд тэрээр 800 мянга гаруй шинэ дагагчтай болж сонгуулийн үр дүнд нь эерэгээр нөлөөлж чаджээ. Манай улсад ч инстаграм, фейсбүүк зэрэг мэдээллийн хэрэгслийг ашиглан олон нийтийн анхаарлыг татаж чадсан хэд хэдэн тохиолдол бий. </w:t>
      </w:r>
      <w:r w:rsidRPr="00443D94">
        <w:rPr>
          <w:rFonts w:ascii="Times New Roman" w:hAnsi="Times New Roman"/>
          <w:sz w:val="24"/>
          <w:lang w:val="mn-MN"/>
        </w:rPr>
        <w:t xml:space="preserve">2015 онд Дьюкийн Их сургуулийн судлаачид Америкийн залуу сонгогчдын сонгуулийн оролцоог нэмэгдүүлэхийн тулд  анхны сонгуульдаа оролцох боломжийг нь аль болох хялбар болгож урьдчилсан бүртгэлд хамруулах арга замыг тодорхойлсон. </w:t>
      </w:r>
      <w:r w:rsidRPr="00443D94">
        <w:rPr>
          <w:rFonts w:ascii="Times New Roman" w:hAnsi="Times New Roman"/>
          <w:color w:val="000000" w:themeColor="text1"/>
          <w:sz w:val="24"/>
          <w:lang w:val="mn-MN"/>
        </w:rPr>
        <w:t xml:space="preserve">Судалгааны үр дүнгээс үзэхэд урьдчилсан бүртгэлд хамрагдсан 18 нас хүрээгүй шинэ сонгогчид нь саналаа хэрхэн өгөх, хаана бүртгүүлэх зэргийг саналын хуудас болон санал авах байрны загвар бүхий үзүүлэн зэрэгт тулгуурлан сургуульд сурч байх үедээ мэдэж, мэдээллийн чиглүүлэг авснаар залуучуудын сонгуулийн ирц, оролцоонд эерэг нөлөөллийг бий болгосон байна. Иймд залуу сонгогчдын улс төрийн оролцоог нэмэгдүүлэхийн тулд дан ганц сонгуулийн кампанит ажил үр дүнтэй биш, харин багаас нь улс төр, сонгуулийн талаарх мэдлэг мэдээллийг өгөх, практикт ойлгуулах байдлаар тогтмол ажиллах хэрэгтэй байдаг. </w:t>
      </w:r>
    </w:p>
    <w:p w14:paraId="102CCD5B" w14:textId="77777777" w:rsidR="00F73F4E" w:rsidRPr="00443D94" w:rsidRDefault="00F73F4E" w:rsidP="008049E2">
      <w:pPr>
        <w:spacing w:line="240" w:lineRule="auto"/>
        <w:rPr>
          <w:rFonts w:ascii="Times New Roman" w:eastAsia="Arial" w:hAnsi="Times New Roman"/>
          <w:b/>
          <w:iCs/>
          <w:sz w:val="24"/>
          <w:lang w:val="mn-MN"/>
        </w:rPr>
      </w:pPr>
    </w:p>
    <w:p w14:paraId="12D38DF8" w14:textId="1C4B4F45" w:rsidR="00EE16ED" w:rsidRPr="00443D94" w:rsidRDefault="00EE16ED" w:rsidP="008049E2">
      <w:pPr>
        <w:spacing w:line="240" w:lineRule="auto"/>
        <w:rPr>
          <w:rFonts w:ascii="Times New Roman" w:eastAsia="Arial" w:hAnsi="Times New Roman"/>
          <w:b/>
          <w:iCs/>
          <w:sz w:val="24"/>
          <w:lang w:val="mn-MN"/>
        </w:rPr>
      </w:pPr>
      <w:r w:rsidRPr="00443D94">
        <w:rPr>
          <w:rFonts w:ascii="Times New Roman" w:eastAsia="Arial" w:hAnsi="Times New Roman"/>
          <w:b/>
          <w:iCs/>
          <w:sz w:val="24"/>
          <w:lang w:val="mn-MN"/>
        </w:rPr>
        <w:t>Дүгнэлт</w:t>
      </w:r>
    </w:p>
    <w:p w14:paraId="16A344F1" w14:textId="77777777" w:rsidR="00F73F4E" w:rsidRPr="00443D94" w:rsidRDefault="00F73F4E" w:rsidP="008049E2">
      <w:pPr>
        <w:spacing w:line="240" w:lineRule="auto"/>
        <w:jc w:val="both"/>
        <w:rPr>
          <w:rFonts w:ascii="Times New Roman" w:eastAsia="Arial" w:hAnsi="Times New Roman"/>
          <w:sz w:val="24"/>
          <w:lang w:val="mn-MN"/>
        </w:rPr>
      </w:pPr>
    </w:p>
    <w:p w14:paraId="58FA1811" w14:textId="21CED3E2" w:rsidR="00EE16ED" w:rsidRPr="00443D94" w:rsidRDefault="00EE16ED" w:rsidP="008049E2">
      <w:pPr>
        <w:spacing w:line="240" w:lineRule="auto"/>
        <w:jc w:val="both"/>
        <w:rPr>
          <w:rFonts w:ascii="Times New Roman" w:eastAsia="Arial" w:hAnsi="Times New Roman"/>
          <w:sz w:val="24"/>
          <w:lang w:val="mn-MN"/>
        </w:rPr>
      </w:pPr>
      <w:r w:rsidRPr="00443D94">
        <w:rPr>
          <w:rFonts w:ascii="Times New Roman" w:eastAsia="Arial" w:hAnsi="Times New Roman"/>
          <w:sz w:val="24"/>
          <w:lang w:val="mn-MN"/>
        </w:rPr>
        <w:t>Орчин үед улс төрийн тогтолцоонд олон нийтийн мэдээллийн хэрэгсэлтэй хамтран ажиллаж улс төрийн амжилтад хүрэх боломж бүрдсэн ба тэр дундаа интернет олон нийтийн мэдээллийн хэрэгсэл улс төрчдийн хувьд өөрийгөө таниулах, нэр хүнд олох өргөн бөгөөд шинэ бололцоо нөхцөлийг улам бүр нээж өгсөөр байна. Улс төрийн аль нэг үйл ажиллагаанд оролцож байгаа хүмүүсийн сонголт, шийдвэр гаргалтад хамгийн их яригдах асуудлын нэг нь үйл байдал юм. Намууд төрийн эрхийг гартаа авахын тулд сонгуулийн кампанит ажлын үеэр олон төрлийн арга хэмжээг зохион байгуулах, хэвлэл мэдээллийг ашиглах замаар олон нийтийн санаа бодолд нөлөөлж итгэн үнэмшүүлэх болон дотоод механизм, сэтгэл зүйн нарийн үйл явцыг ашиглан өөрсдөдөө ашигтай байдлыг бий болгосоор байна.</w:t>
      </w:r>
      <w:r w:rsidRPr="00443D94">
        <w:rPr>
          <w:rFonts w:ascii="Times New Roman" w:eastAsia="Times New Roman" w:hAnsi="Times New Roman"/>
          <w:sz w:val="24"/>
          <w:lang w:val="mn-MN"/>
        </w:rPr>
        <w:t xml:space="preserve"> </w:t>
      </w:r>
      <w:r w:rsidRPr="00443D94">
        <w:rPr>
          <w:rFonts w:ascii="Times New Roman" w:eastAsia="Arial" w:hAnsi="Times New Roman"/>
          <w:sz w:val="24"/>
          <w:lang w:val="mn-MN"/>
        </w:rPr>
        <w:t xml:space="preserve">Улс төрийн холбогдолтой мэдээ мэдээлэл залуу сонгогчдын үйл байдал, улс төрийн идэвх оролцоог нэмэгдүүлэх ч үр дагаврыг нь тооцох, сонгогчдын боловсролыг нэмэгдүүлэхэд анхаарах, улс төрийн сонгуулийн талаарх зөв мэдлэг ойлголттой болоход анхаарах шаардлага үүсч байгааг энэхүү өгүүллийн хүрээнд судалсан олон улсын болон дотоодын судлаачдын бүтээлд дурдагдсан нь харагдаж байна. </w:t>
      </w:r>
    </w:p>
    <w:p w14:paraId="0D7A2E21" w14:textId="77777777" w:rsidR="00EE16ED" w:rsidRPr="00443D94" w:rsidRDefault="00EE16ED" w:rsidP="008049E2">
      <w:pPr>
        <w:shd w:val="clear" w:color="auto" w:fill="FFFFFF"/>
        <w:spacing w:line="240" w:lineRule="auto"/>
        <w:ind w:left="4" w:right="7" w:firstLine="716"/>
        <w:jc w:val="both"/>
        <w:rPr>
          <w:rFonts w:ascii="Times New Roman" w:hAnsi="Times New Roman"/>
          <w:sz w:val="24"/>
          <w:lang w:val="mn-MN"/>
        </w:rPr>
      </w:pPr>
      <w:r w:rsidRPr="00443D94">
        <w:rPr>
          <w:rFonts w:ascii="Times New Roman" w:hAnsi="Times New Roman"/>
          <w:sz w:val="24"/>
          <w:lang w:val="mn-MN"/>
        </w:rPr>
        <w:t xml:space="preserve">Иймээс Сонгуулийн ерөнхий хороо, төрийн болон төрийн бус байгууллагууд, улс төрийн нам, ерөнхий боловсролын сургууль, их дээд сургуулийн удирдлага, багш, судлаачид залуучуудыг орчин үеийн мэдээллийн технологийн дэвшил, хэвлэл мэдээллийн хэрэгслийг нийгмийн амьдралд илүү идэвхтэй оролцоход ашиглах боломж нээлттэй байгаа зэргийг бүрэн ашиглаж сонгуульдаа идэвхтэй оролцохыг уриалах, идэвхжүүлэх, заах, үлгэрлэх зэргээр ажиллах нь чухал байна. Ялангуяа сонгуульд анх удаа оролцож байгаа, эсвэл оролцохгүй байгаа залуучуудад чиглэсэн сонгогчдын боловсролын хөтөлбөрийг хэрэгжүүлэх, залуучуудын илүү идэвхтэй оролцоог хангах сайн дурын ажиллагааны бүтцийг сайжруулж, нийгэм - улс төрийн мэргэжлийн оюутнуудын оролцоог түлхүү нөлөөтэй байхаар оролцуулах, цаашлаад залуучуудаас бүрдсэн иргэний нийгмийн байгууллагуудын төрийн үйл ажиллагаанд хяналт тавих, бодлогод нөлөөлөх боломжийг олгох нэн шаардлагатай байна.  </w:t>
      </w:r>
    </w:p>
    <w:p w14:paraId="28FE0082" w14:textId="7DBCA7F2" w:rsidR="00EE16ED" w:rsidRPr="00443D94" w:rsidRDefault="00EE16ED" w:rsidP="008049E2">
      <w:pPr>
        <w:spacing w:line="240" w:lineRule="auto"/>
        <w:ind w:firstLine="720"/>
        <w:jc w:val="both"/>
        <w:rPr>
          <w:rFonts w:ascii="Times New Roman" w:eastAsia="Arial" w:hAnsi="Times New Roman"/>
          <w:sz w:val="24"/>
          <w:lang w:val="mn-MN"/>
        </w:rPr>
      </w:pPr>
    </w:p>
    <w:p w14:paraId="33664D46" w14:textId="4983DB69" w:rsidR="00EE16ED" w:rsidRPr="00443D94" w:rsidRDefault="00EE16ED" w:rsidP="008049E2">
      <w:pPr>
        <w:spacing w:line="240" w:lineRule="auto"/>
        <w:rPr>
          <w:rFonts w:ascii="Times New Roman" w:eastAsia="Arial" w:hAnsi="Times New Roman"/>
          <w:b/>
          <w:iCs/>
          <w:sz w:val="24"/>
          <w:lang w:val="mn-MN"/>
        </w:rPr>
      </w:pPr>
      <w:r w:rsidRPr="00443D94">
        <w:rPr>
          <w:rFonts w:ascii="Times New Roman" w:eastAsia="Arial" w:hAnsi="Times New Roman"/>
          <w:b/>
          <w:iCs/>
          <w:sz w:val="24"/>
          <w:lang w:val="mn-MN"/>
        </w:rPr>
        <w:t>Ашигласан ном, материал</w:t>
      </w:r>
    </w:p>
    <w:p w14:paraId="29FF5B04" w14:textId="77777777" w:rsidR="00F73F4E" w:rsidRPr="00443D94" w:rsidRDefault="00F73F4E" w:rsidP="008049E2">
      <w:pPr>
        <w:spacing w:line="240" w:lineRule="auto"/>
        <w:jc w:val="both"/>
        <w:rPr>
          <w:rFonts w:ascii="Times New Roman" w:eastAsia="Arial" w:hAnsi="Times New Roman"/>
          <w:b/>
          <w:iCs/>
          <w:sz w:val="24"/>
          <w:lang w:val="mn-MN"/>
        </w:rPr>
      </w:pPr>
    </w:p>
    <w:p w14:paraId="76AF4C4B" w14:textId="2DEE4CA6" w:rsidR="00EE16ED" w:rsidRPr="00443D94" w:rsidRDefault="00EE16ED" w:rsidP="008049E2">
      <w:pPr>
        <w:spacing w:line="240" w:lineRule="auto"/>
        <w:jc w:val="both"/>
        <w:rPr>
          <w:rFonts w:ascii="Times New Roman" w:eastAsia="Arial" w:hAnsi="Times New Roman"/>
          <w:bCs/>
          <w:i/>
          <w:sz w:val="24"/>
          <w:lang w:val="mn-MN"/>
        </w:rPr>
      </w:pPr>
      <w:r w:rsidRPr="00443D94">
        <w:rPr>
          <w:rFonts w:ascii="Times New Roman" w:eastAsia="Arial" w:hAnsi="Times New Roman"/>
          <w:bCs/>
          <w:i/>
          <w:sz w:val="24"/>
          <w:lang w:val="mn-MN"/>
        </w:rPr>
        <w:t>Монгол хэл дээрх:</w:t>
      </w:r>
    </w:p>
    <w:p w14:paraId="3E0EDF98"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 xml:space="preserve">Баасансүрэн Д. (2016). Олигархжсан улс төрийн намаас намгүй нийгэмд шилжих цаг бидний төсөөлж байгаагаас илүү ойрхон ч байж мэднэ. </w:t>
      </w:r>
    </w:p>
    <w:p w14:paraId="5BA497EB"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Баасансүрэн Д. (2017). Улс төрийн намын хөгжлийн өнөөгийн чиг хандлага: бүхнийг шүүрэгч өргөн хүрээний намаас картель загварт</w:t>
      </w:r>
    </w:p>
    <w:p w14:paraId="5464FA12"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Ганболд Ц, Довчин Ё. (2014). Улс төрийн шинжлэх ухаан</w:t>
      </w:r>
    </w:p>
    <w:p w14:paraId="40DA6D5D"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Доржжав Д. (2008). Харилцааны сэтгэл зүйн ертөнц</w:t>
      </w:r>
    </w:p>
    <w:p w14:paraId="16A2670C"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 xml:space="preserve">Оюунсүрэн Ч. (2015). Монголын хөвөгч сонгогчдын улс төрийн үйл байдалд хийх шинжилгээ. </w:t>
      </w:r>
    </w:p>
    <w:p w14:paraId="6F57FE2A"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Уранцэцэг Л, Дэлгэржав М. (2012). Нийгмийн сэтгэл судлал</w:t>
      </w:r>
    </w:p>
    <w:p w14:paraId="1DBE840D"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Уранцэцэг Л, Цэрэнханд Г. (2007). Угсаатны сэтгэл судлал</w:t>
      </w:r>
    </w:p>
    <w:p w14:paraId="30DCA4B1" w14:textId="77777777" w:rsidR="00EE16ED" w:rsidRPr="00443D94" w:rsidRDefault="00EE16ED" w:rsidP="008049E2">
      <w:pPr>
        <w:pStyle w:val="ListParagraph"/>
        <w:numPr>
          <w:ilvl w:val="0"/>
          <w:numId w:val="30"/>
        </w:numPr>
        <w:spacing w:after="0" w:line="240" w:lineRule="auto"/>
        <w:jc w:val="both"/>
        <w:rPr>
          <w:rFonts w:ascii="Times New Roman" w:hAnsi="Times New Roman" w:cs="Times New Roman"/>
          <w:sz w:val="24"/>
          <w:szCs w:val="24"/>
          <w:lang w:val="mn-MN"/>
        </w:rPr>
      </w:pPr>
      <w:r w:rsidRPr="00443D94">
        <w:rPr>
          <w:rFonts w:ascii="Times New Roman" w:eastAsia="Arial" w:hAnsi="Times New Roman" w:cs="Times New Roman"/>
          <w:sz w:val="24"/>
          <w:szCs w:val="24"/>
          <w:lang w:val="mn-MN"/>
        </w:rPr>
        <w:t xml:space="preserve">Уянга.Б. (2021). </w:t>
      </w:r>
      <w:r w:rsidRPr="00443D94">
        <w:rPr>
          <w:rFonts w:ascii="Times New Roman" w:hAnsi="Times New Roman" w:cs="Times New Roman"/>
          <w:sz w:val="24"/>
          <w:szCs w:val="24"/>
          <w:lang w:val="mn-MN"/>
        </w:rPr>
        <w:t>Улс төрийн сонгуульд хандах шинэ сонгогчийн хандлагыг тодорхойлох (Монгол Улсын Ерөнхийлөгчийн 2021 оны сонгуулийн жишээн дээр). Магистрын судалгааны ажил</w:t>
      </w:r>
    </w:p>
    <w:p w14:paraId="1BA6D619"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Энхчимэг С. (2015). Монголчуудын улс төрийн менталитетийн онцлог, хувьсал өөрчлөлт</w:t>
      </w:r>
    </w:p>
    <w:p w14:paraId="6A702E9B"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Эрдэнэдалай Б. (2022). Залуу сонгогчдын ирц, оролцоог нэмэгдүүлэх нь. Нээлттэй улс төр сэтгүүл</w:t>
      </w:r>
    </w:p>
    <w:p w14:paraId="6CB8F2FB"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Эрдэнэдалай Б, Нийгэм улс төрийн боловсрол НҮТББ. (2021). Z үеийн залуучуудын улс төрийн оролцоо судалгаа</w:t>
      </w:r>
    </w:p>
    <w:p w14:paraId="1D50558A" w14:textId="77777777" w:rsidR="00F73F4E" w:rsidRPr="00443D94" w:rsidRDefault="00F73F4E" w:rsidP="008049E2">
      <w:pPr>
        <w:spacing w:line="240" w:lineRule="auto"/>
        <w:jc w:val="both"/>
        <w:rPr>
          <w:rFonts w:ascii="Times New Roman" w:eastAsia="Arial" w:hAnsi="Times New Roman"/>
          <w:bCs/>
          <w:i/>
          <w:sz w:val="24"/>
          <w:lang w:val="mn-MN"/>
        </w:rPr>
      </w:pPr>
    </w:p>
    <w:p w14:paraId="0E4E7EFF" w14:textId="3A9FBE32" w:rsidR="00EE16ED" w:rsidRPr="00443D94" w:rsidRDefault="00EE16ED" w:rsidP="008049E2">
      <w:pPr>
        <w:spacing w:line="240" w:lineRule="auto"/>
        <w:jc w:val="both"/>
        <w:rPr>
          <w:rFonts w:ascii="Times New Roman" w:eastAsia="Arial" w:hAnsi="Times New Roman"/>
          <w:bCs/>
          <w:i/>
          <w:sz w:val="24"/>
          <w:lang w:val="mn-MN"/>
        </w:rPr>
      </w:pPr>
      <w:r w:rsidRPr="00443D94">
        <w:rPr>
          <w:rFonts w:ascii="Times New Roman" w:eastAsia="Arial" w:hAnsi="Times New Roman"/>
          <w:bCs/>
          <w:i/>
          <w:sz w:val="24"/>
          <w:lang w:val="mn-MN"/>
        </w:rPr>
        <w:t>Англи хэл дээрх:</w:t>
      </w:r>
    </w:p>
    <w:p w14:paraId="746AC131"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 xml:space="preserve">Edward L. Bernays. (1945). Public relations today. Public relations (pp. 6-7). University of Oklahoma press Norman. </w:t>
      </w:r>
    </w:p>
    <w:p w14:paraId="3E827CB9"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Gilbert, D.T.,  Tafarodi, R.W. and Malone, P.S. (1993) You can't not believe everything you read. Journal of Personality and Social Psychology, 65, 221-233.</w:t>
      </w:r>
    </w:p>
    <w:p w14:paraId="2EF78BDE"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Luria, A.R. (1976). Cognitive development: Its cultural and social foundations. (M.Cole, Edl; M. Lopez-Morillas and L. solotaroff, Trans.) Cambridge, MA: Harvard University Press</w:t>
      </w:r>
    </w:p>
    <w:p w14:paraId="69BD8223"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color w:val="222222"/>
          <w:sz w:val="24"/>
          <w:szCs w:val="24"/>
          <w:lang w:val="mn-MN"/>
        </w:rPr>
        <w:t>Petty, R. E., Rucker, D., Bizer, G., &amp; Cacioppo, J. T. (2004). The elaboration likelihood model of persuasion. In J. S. Seiter &amp; G. H. Gass (Eds.), Perspectives on persuasion, social influence and compliance gaining (pp. 65-89). Boston: Allyn &amp; Bacon.</w:t>
      </w:r>
    </w:p>
    <w:p w14:paraId="2636654A"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color w:val="222222"/>
          <w:sz w:val="24"/>
          <w:szCs w:val="24"/>
          <w:lang w:val="mn-MN"/>
        </w:rPr>
      </w:pPr>
      <w:r w:rsidRPr="00443D94">
        <w:rPr>
          <w:rFonts w:ascii="Times New Roman" w:eastAsia="Arial" w:hAnsi="Times New Roman" w:cs="Times New Roman"/>
          <w:color w:val="222222"/>
          <w:sz w:val="24"/>
          <w:szCs w:val="24"/>
          <w:lang w:val="mn-MN"/>
        </w:rPr>
        <w:t>Petty, R. E., Wheeler, S. C., &amp; Tormala, Z. L. (2003). Persuasion and attitude change. In T. Millon &amp; M. J. Lerner (Eds.), Handbook of psychology: Vol. 5. Personality and social psychology (pp. 353-382). Hoboken, NJ: Wiley.</w:t>
      </w:r>
    </w:p>
    <w:p w14:paraId="0FD882EE"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color w:val="222222"/>
          <w:sz w:val="24"/>
          <w:szCs w:val="24"/>
          <w:lang w:val="mn-MN"/>
        </w:rPr>
      </w:pPr>
      <w:r w:rsidRPr="00443D94">
        <w:rPr>
          <w:rFonts w:ascii="Times New Roman" w:eastAsia="Arial" w:hAnsi="Times New Roman" w:cs="Times New Roman"/>
          <w:color w:val="222222"/>
          <w:sz w:val="24"/>
          <w:szCs w:val="24"/>
          <w:lang w:val="mn-MN"/>
        </w:rPr>
        <w:t>Roderik Rekker, (2022). How young voters fuel electoral volatility. Electoral Studies: Vol. 75.</w:t>
      </w:r>
    </w:p>
    <w:p w14:paraId="00239D09" w14:textId="77777777" w:rsidR="00EE16ED" w:rsidRPr="00443D94" w:rsidRDefault="00EE16ED" w:rsidP="008049E2">
      <w:pPr>
        <w:pStyle w:val="ListParagraph"/>
        <w:numPr>
          <w:ilvl w:val="0"/>
          <w:numId w:val="30"/>
        </w:numPr>
        <w:spacing w:after="0" w:line="240" w:lineRule="auto"/>
        <w:jc w:val="both"/>
        <w:rPr>
          <w:rFonts w:ascii="Times New Roman" w:eastAsia="Arial" w:hAnsi="Times New Roman" w:cs="Times New Roman"/>
          <w:sz w:val="24"/>
          <w:szCs w:val="24"/>
          <w:lang w:val="mn-MN"/>
        </w:rPr>
      </w:pPr>
      <w:r w:rsidRPr="00443D94">
        <w:rPr>
          <w:rFonts w:ascii="Times New Roman" w:eastAsia="Arial" w:hAnsi="Times New Roman" w:cs="Times New Roman"/>
          <w:sz w:val="24"/>
          <w:szCs w:val="24"/>
          <w:lang w:val="mn-MN"/>
        </w:rPr>
        <w:t xml:space="preserve">Ross, L., Lepper, M. R. and Hubbard, M. (1975) Perseverance in self-perception and social perception: Biased attributional processes in the debriefing paradigm, Journal of Personality and Social Psychology, 32, 880-892 </w:t>
      </w:r>
    </w:p>
    <w:p w14:paraId="714C1B10" w14:textId="6CD7E357" w:rsidR="00EE16ED" w:rsidRPr="00443D94" w:rsidRDefault="00EE16ED" w:rsidP="008049E2">
      <w:pPr>
        <w:spacing w:line="240" w:lineRule="auto"/>
        <w:rPr>
          <w:rFonts w:ascii="Times New Roman" w:hAnsi="Times New Roman"/>
          <w:sz w:val="24"/>
          <w:lang w:val="mn-MN"/>
        </w:rPr>
      </w:pPr>
    </w:p>
    <w:p w14:paraId="28516E3C" w14:textId="77777777" w:rsidR="00B04810" w:rsidRPr="00443D94" w:rsidRDefault="00B04810" w:rsidP="002A4177">
      <w:pPr>
        <w:spacing w:line="240" w:lineRule="auto"/>
        <w:jc w:val="center"/>
        <w:rPr>
          <w:rFonts w:ascii="Times New Roman" w:hAnsi="Times New Roman"/>
          <w:b/>
          <w:bCs/>
          <w:sz w:val="24"/>
          <w:lang w:val="mn-MN"/>
        </w:rPr>
      </w:pPr>
    </w:p>
    <w:p w14:paraId="07AAFD52" w14:textId="77777777" w:rsidR="00B04810" w:rsidRPr="00443D94" w:rsidRDefault="00B04810" w:rsidP="002A4177">
      <w:pPr>
        <w:spacing w:line="240" w:lineRule="auto"/>
        <w:jc w:val="center"/>
        <w:rPr>
          <w:rFonts w:ascii="Times New Roman" w:hAnsi="Times New Roman"/>
          <w:b/>
          <w:bCs/>
          <w:sz w:val="24"/>
          <w:lang w:val="mn-MN"/>
        </w:rPr>
      </w:pPr>
    </w:p>
    <w:p w14:paraId="06B32F81" w14:textId="56FECA7D" w:rsidR="002A4177" w:rsidRPr="00443D94" w:rsidRDefault="002A4177" w:rsidP="002A4177">
      <w:pPr>
        <w:spacing w:line="240" w:lineRule="auto"/>
        <w:jc w:val="center"/>
        <w:rPr>
          <w:rFonts w:ascii="Times New Roman" w:hAnsi="Times New Roman"/>
          <w:b/>
          <w:bCs/>
          <w:sz w:val="24"/>
          <w:lang w:val="mn-MN"/>
        </w:rPr>
      </w:pPr>
      <w:r w:rsidRPr="00443D94">
        <w:rPr>
          <w:rFonts w:ascii="Times New Roman" w:hAnsi="Times New Roman"/>
          <w:b/>
          <w:bCs/>
          <w:sz w:val="24"/>
          <w:lang w:val="mn-MN"/>
        </w:rPr>
        <w:t>ANALYZING THE INFLUENCE OF POLITICAL INFORMATION ON SOCIAL MEDIA ON THE BEHAVIOR OF YOUNG VOTERS</w:t>
      </w:r>
    </w:p>
    <w:p w14:paraId="5649B4BA" w14:textId="77777777" w:rsidR="002A4177" w:rsidRPr="00443D94" w:rsidRDefault="002A4177" w:rsidP="002A4177">
      <w:pPr>
        <w:spacing w:line="240" w:lineRule="auto"/>
        <w:rPr>
          <w:rFonts w:ascii="Times New Roman" w:hAnsi="Times New Roman"/>
          <w:sz w:val="24"/>
          <w:lang w:val="mn-MN"/>
        </w:rPr>
      </w:pPr>
    </w:p>
    <w:p w14:paraId="31398514" w14:textId="77777777" w:rsidR="002A4177" w:rsidRPr="00443D94" w:rsidRDefault="002A4177" w:rsidP="008049E2">
      <w:pPr>
        <w:spacing w:line="240" w:lineRule="auto"/>
        <w:rPr>
          <w:rFonts w:ascii="Times New Roman" w:hAnsi="Times New Roman"/>
          <w:sz w:val="24"/>
          <w:lang w:val="mn-MN"/>
        </w:rPr>
      </w:pPr>
    </w:p>
    <w:p w14:paraId="65109A22" w14:textId="77777777" w:rsidR="00F73F4E" w:rsidRPr="00443D94" w:rsidRDefault="00F73F4E" w:rsidP="008049E2">
      <w:pPr>
        <w:spacing w:line="240" w:lineRule="auto"/>
        <w:jc w:val="both"/>
        <w:rPr>
          <w:rFonts w:ascii="Times New Roman" w:eastAsia="Arial" w:hAnsi="Times New Roman"/>
          <w:b/>
          <w:iCs/>
          <w:sz w:val="24"/>
          <w:lang w:val="mn-MN"/>
        </w:rPr>
      </w:pPr>
      <w:r w:rsidRPr="00443D94">
        <w:rPr>
          <w:rFonts w:ascii="Times New Roman" w:eastAsia="Arial" w:hAnsi="Times New Roman"/>
          <w:b/>
          <w:iCs/>
          <w:sz w:val="24"/>
          <w:lang w:val="mn-MN"/>
        </w:rPr>
        <w:t xml:space="preserve">Abstract </w:t>
      </w:r>
    </w:p>
    <w:p w14:paraId="1F78F85C" w14:textId="77777777" w:rsidR="00F73F4E" w:rsidRPr="00443D94" w:rsidRDefault="00F73F4E" w:rsidP="008049E2">
      <w:pPr>
        <w:spacing w:line="240" w:lineRule="auto"/>
        <w:jc w:val="both"/>
        <w:rPr>
          <w:rFonts w:ascii="Times New Roman" w:eastAsia="Arial" w:hAnsi="Times New Roman"/>
          <w:b/>
          <w:i/>
          <w:sz w:val="24"/>
          <w:lang w:val="mn-MN"/>
        </w:rPr>
      </w:pPr>
    </w:p>
    <w:p w14:paraId="1A249E19" w14:textId="7EDC9AF7" w:rsidR="00F73F4E" w:rsidRPr="00443D94" w:rsidRDefault="00F73F4E" w:rsidP="008049E2">
      <w:pPr>
        <w:spacing w:line="240" w:lineRule="auto"/>
        <w:jc w:val="both"/>
        <w:rPr>
          <w:rFonts w:ascii="Times New Roman" w:eastAsia="Arial" w:hAnsi="Times New Roman"/>
          <w:sz w:val="24"/>
          <w:lang w:val="mn-MN"/>
        </w:rPr>
      </w:pPr>
      <w:r w:rsidRPr="00443D94">
        <w:rPr>
          <w:rFonts w:ascii="Times New Roman" w:eastAsia="Arial" w:hAnsi="Times New Roman"/>
          <w:sz w:val="24"/>
          <w:lang w:val="mn-MN"/>
        </w:rPr>
        <w:t xml:space="preserve">In our country, several studies have addressed the political behavior of voters and the factors influencing it. However, issues related to voter behavior during election campaigns and the factors affecting it remain underexplored, with limited research available. This highlights the need to examine theoretical perspectives on the topic. In Western countries, numerous studies and resources exist on voters' political behavior and its influencing factors. Among these, the earliest work is Edward Bernays' </w:t>
      </w:r>
      <w:r w:rsidRPr="00443D94">
        <w:rPr>
          <w:rFonts w:ascii="Times New Roman" w:eastAsia="Arial" w:hAnsi="Times New Roman"/>
          <w:i/>
          <w:sz w:val="24"/>
          <w:lang w:val="mn-MN"/>
        </w:rPr>
        <w:t>"Public Relations Today,"</w:t>
      </w:r>
      <w:r w:rsidRPr="00443D94">
        <w:rPr>
          <w:rFonts w:ascii="Times New Roman" w:eastAsia="Arial" w:hAnsi="Times New Roman"/>
          <w:sz w:val="24"/>
          <w:lang w:val="mn-MN"/>
        </w:rPr>
        <w:t xml:space="preserve"> published in 1945, which marked a significant milestone. This work included experimental findings on behavior within the field of social psychology.</w:t>
      </w:r>
    </w:p>
    <w:p w14:paraId="7031E2C0" w14:textId="77777777" w:rsidR="00F73F4E" w:rsidRPr="00443D94" w:rsidRDefault="00F73F4E" w:rsidP="008049E2">
      <w:pPr>
        <w:spacing w:line="240" w:lineRule="auto"/>
        <w:jc w:val="both"/>
        <w:rPr>
          <w:rFonts w:ascii="Times New Roman" w:eastAsia="Arial" w:hAnsi="Times New Roman"/>
          <w:b/>
          <w:i/>
          <w:sz w:val="24"/>
          <w:lang w:val="mn-MN"/>
        </w:rPr>
      </w:pPr>
    </w:p>
    <w:p w14:paraId="389BC13A" w14:textId="0C7B3E1E" w:rsidR="004702E2" w:rsidRPr="006A69A8" w:rsidRDefault="00F73F4E" w:rsidP="006A69A8">
      <w:pPr>
        <w:spacing w:line="240" w:lineRule="auto"/>
        <w:rPr>
          <w:rFonts w:ascii="Times New Roman" w:hAnsi="Times New Roman"/>
          <w:sz w:val="24"/>
          <w:lang w:val="mn-MN"/>
        </w:rPr>
      </w:pPr>
      <w:r w:rsidRPr="00443D94">
        <w:rPr>
          <w:rFonts w:ascii="Times New Roman" w:eastAsia="Arial" w:hAnsi="Times New Roman"/>
          <w:b/>
          <w:sz w:val="24"/>
          <w:lang w:val="mn-MN"/>
        </w:rPr>
        <w:t>Keywords</w:t>
      </w:r>
      <w:r w:rsidRPr="00443D94">
        <w:rPr>
          <w:rFonts w:ascii="Times New Roman" w:eastAsia="Arial" w:hAnsi="Times New Roman"/>
          <w:sz w:val="24"/>
          <w:lang w:val="mn-MN"/>
        </w:rPr>
        <w:t>: political behavior, young voters, political influence</w:t>
      </w:r>
    </w:p>
    <w:sectPr w:rsidR="004702E2" w:rsidRPr="006A69A8" w:rsidSect="007F08BC">
      <w:footerReference w:type="default" r:id="rId12"/>
      <w:pgSz w:w="11909" w:h="16834" w:code="9"/>
      <w:pgMar w:top="1440" w:right="1440" w:bottom="1440" w:left="1728" w:header="706" w:footer="83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78B99" w14:textId="77777777" w:rsidR="003030FC" w:rsidRDefault="003030FC">
      <w:r>
        <w:separator/>
      </w:r>
    </w:p>
  </w:endnote>
  <w:endnote w:type="continuationSeparator" w:id="0">
    <w:p w14:paraId="1C25E506" w14:textId="77777777" w:rsidR="003030FC" w:rsidRDefault="0030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2F6BA" w14:textId="77777777" w:rsidR="003030FC" w:rsidRDefault="003030FC">
      <w:pPr>
        <w:pStyle w:val="Footer"/>
        <w:tabs>
          <w:tab w:val="clear" w:pos="4320"/>
          <w:tab w:val="left" w:pos="4860"/>
        </w:tabs>
        <w:spacing w:line="200" w:lineRule="exact"/>
        <w:rPr>
          <w:u w:val="single" w:color="000000"/>
        </w:rPr>
      </w:pPr>
      <w:r>
        <w:rPr>
          <w:u w:val="single" w:color="000000"/>
        </w:rPr>
        <w:tab/>
      </w:r>
    </w:p>
  </w:footnote>
  <w:footnote w:type="continuationSeparator" w:id="0">
    <w:p w14:paraId="4D1B866A" w14:textId="77777777" w:rsidR="003030FC" w:rsidRDefault="003030FC">
      <w:pPr>
        <w:pStyle w:val="FootnoteText"/>
        <w:rPr>
          <w:szCs w:val="24"/>
        </w:rPr>
      </w:pPr>
      <w:r>
        <w:continuationSeparator/>
      </w:r>
    </w:p>
  </w:footnote>
  <w:footnote w:type="continuationNotice" w:id="1">
    <w:p w14:paraId="115E1A0E" w14:textId="77777777" w:rsidR="003030FC" w:rsidRDefault="003030FC">
      <w:pPr>
        <w:pStyle w:val="Footer"/>
        <w:spacing w:line="14" w:lineRule="exact"/>
      </w:pPr>
    </w:p>
  </w:footnote>
  <w:footnote w:id="2">
    <w:p w14:paraId="7D76144E" w14:textId="77777777" w:rsidR="00EE16ED" w:rsidRPr="004200D7" w:rsidRDefault="00EE16ED" w:rsidP="003020A5">
      <w:pPr>
        <w:pBdr>
          <w:top w:val="nil"/>
          <w:left w:val="nil"/>
          <w:bottom w:val="nil"/>
          <w:right w:val="nil"/>
          <w:between w:val="nil"/>
        </w:pBdr>
        <w:spacing w:line="240" w:lineRule="auto"/>
        <w:jc w:val="both"/>
        <w:rPr>
          <w:rFonts w:ascii="Times New Roman" w:hAnsi="Times New Roman"/>
          <w:color w:val="000000"/>
          <w:szCs w:val="20"/>
          <w:lang w:val="mn-MN"/>
        </w:rPr>
      </w:pPr>
      <w:r w:rsidRPr="009D44AA">
        <w:rPr>
          <w:rStyle w:val="FootnoteReference"/>
          <w:rFonts w:ascii="Times New Roman" w:hAnsi="Times New Roman"/>
          <w:szCs w:val="20"/>
        </w:rPr>
        <w:footnoteRef/>
      </w:r>
      <w:r w:rsidRPr="004200D7">
        <w:rPr>
          <w:rFonts w:ascii="Times New Roman" w:hAnsi="Times New Roman"/>
          <w:color w:val="000000"/>
          <w:szCs w:val="20"/>
          <w:lang w:val="mn-MN"/>
        </w:rPr>
        <w:t xml:space="preserve"> Хэнри Александр Мюррей 1893 оны 05-р сарын 13-нд АНУ-д төрсөн. Харвардын их сургуульд клиникийн сэтгэл судлалаар багшилж байсан бөгөөд бие хүний судалгааны чиглэлээр нэрд гарсан судлаач.</w:t>
      </w:r>
    </w:p>
  </w:footnote>
  <w:footnote w:id="3">
    <w:p w14:paraId="35F5DF69" w14:textId="77777777" w:rsidR="00EE16ED" w:rsidRPr="004200D7" w:rsidRDefault="00EE16ED" w:rsidP="003020A5">
      <w:pPr>
        <w:pBdr>
          <w:top w:val="nil"/>
          <w:left w:val="nil"/>
          <w:bottom w:val="nil"/>
          <w:right w:val="nil"/>
          <w:between w:val="nil"/>
        </w:pBdr>
        <w:spacing w:line="240" w:lineRule="auto"/>
        <w:jc w:val="both"/>
        <w:rPr>
          <w:rFonts w:ascii="Times New Roman" w:hAnsi="Times New Roman"/>
          <w:color w:val="000000"/>
          <w:szCs w:val="20"/>
          <w:lang w:val="mn-MN"/>
        </w:rPr>
      </w:pPr>
      <w:r w:rsidRPr="009D44AA">
        <w:rPr>
          <w:rStyle w:val="FootnoteReference"/>
          <w:rFonts w:ascii="Times New Roman" w:hAnsi="Times New Roman"/>
          <w:szCs w:val="20"/>
        </w:rPr>
        <w:footnoteRef/>
      </w:r>
      <w:r w:rsidRPr="004200D7">
        <w:rPr>
          <w:rFonts w:ascii="Times New Roman" w:hAnsi="Times New Roman"/>
          <w:color w:val="000000"/>
          <w:szCs w:val="20"/>
          <w:lang w:val="mn-MN"/>
        </w:rPr>
        <w:t xml:space="preserve"> Улс төрийн сэтгэл судлал, Оксфордын их сургууль. 2004</w:t>
      </w:r>
    </w:p>
  </w:footnote>
  <w:footnote w:id="4">
    <w:p w14:paraId="3488885A" w14:textId="77777777" w:rsidR="00EE16ED" w:rsidRPr="004200D7"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4200D7">
        <w:rPr>
          <w:noProof/>
          <w:color w:val="000000"/>
          <w:spacing w:val="10"/>
          <w:sz w:val="20"/>
          <w:lang w:val="mn-MN"/>
        </w:rPr>
        <w:t xml:space="preserve">Сонгуулийн санал хураалтад сонгогчид оролцохоос </w:t>
      </w:r>
      <w:r w:rsidRPr="004200D7">
        <w:rPr>
          <w:noProof/>
          <w:color w:val="000000"/>
          <w:spacing w:val="-3"/>
          <w:sz w:val="20"/>
          <w:lang w:val="mn-MN"/>
        </w:rPr>
        <w:t xml:space="preserve">зайлсхийсэн улс төрийн энэ үзэгдлийг </w:t>
      </w:r>
      <w:r w:rsidRPr="004200D7">
        <w:rPr>
          <w:bCs/>
          <w:noProof/>
          <w:color w:val="000000"/>
          <w:spacing w:val="-3"/>
          <w:sz w:val="20"/>
          <w:lang w:val="mn-MN"/>
        </w:rPr>
        <w:t>абсентеизм</w:t>
      </w:r>
      <w:r w:rsidRPr="004200D7">
        <w:rPr>
          <w:b/>
          <w:bCs/>
          <w:noProof/>
          <w:color w:val="000000"/>
          <w:spacing w:val="-3"/>
          <w:sz w:val="20"/>
          <w:lang w:val="mn-MN"/>
        </w:rPr>
        <w:t xml:space="preserve"> </w:t>
      </w:r>
      <w:r w:rsidRPr="004200D7">
        <w:rPr>
          <w:noProof/>
          <w:color w:val="000000"/>
          <w:spacing w:val="-3"/>
          <w:sz w:val="20"/>
          <w:lang w:val="mn-MN"/>
        </w:rPr>
        <w:t>гэсэн нэр томъёогоор тэмдэглэдэг.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0FC"/>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00D7"/>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969"/>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A69A8"/>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09C2"/>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443A"/>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5BE2"/>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4437"/>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E4A"/>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1</TotalTime>
  <Pages>9</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2026-04-18T14:57:00Z</dcterms:created>
  <dcterms:modified xsi:type="dcterms:W3CDTF">2026-04-18T14:57:00Z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