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D1E5E" w14:textId="77777777" w:rsidR="007109C2" w:rsidRPr="00443D94" w:rsidRDefault="007109C2" w:rsidP="007109C2">
      <w:pPr>
        <w:pStyle w:val="Abstract-Head"/>
        <w:spacing w:before="0" w:after="0" w:line="240" w:lineRule="auto"/>
        <w:jc w:val="right"/>
        <w:rPr>
          <w:rFonts w:ascii="Times New Roman" w:hAnsi="Times New Roman"/>
          <w:sz w:val="24"/>
          <w:szCs w:val="24"/>
          <w:lang w:val="mn-MN"/>
        </w:rPr>
      </w:pPr>
      <w:bookmarkStart w:id="0" w:name="_Hlk196998593"/>
      <w:r w:rsidRPr="00443D94">
        <w:rPr>
          <w:rFonts w:ascii="Times New Roman" w:hAnsi="Times New Roman"/>
          <w:sz w:val="24"/>
          <w:szCs w:val="24"/>
          <w:lang w:val="mn-MN"/>
        </w:rPr>
        <w:t>ПОЛИТОЛОГИ XXIII</w:t>
      </w:r>
    </w:p>
    <w:p w14:paraId="15D2E487" w14:textId="6A383D0F" w:rsidR="007109C2" w:rsidRPr="00443D94" w:rsidRDefault="007109C2" w:rsidP="007109C2">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 xml:space="preserve">Эрдэм шинжилгээний бичиг №23 (619): </w:t>
      </w:r>
      <w:r>
        <w:rPr>
          <w:rFonts w:ascii="Times New Roman" w:hAnsi="Times New Roman"/>
          <w:b w:val="0"/>
          <w:bCs/>
          <w:sz w:val="24"/>
          <w:szCs w:val="24"/>
          <w:lang w:val="mn-MN"/>
        </w:rPr>
        <w:t>81-93</w:t>
      </w:r>
      <w:r w:rsidRPr="00443D94">
        <w:rPr>
          <w:rFonts w:ascii="Times New Roman" w:hAnsi="Times New Roman"/>
          <w:b w:val="0"/>
          <w:bCs/>
          <w:sz w:val="24"/>
          <w:szCs w:val="24"/>
          <w:lang w:val="mn-MN"/>
        </w:rPr>
        <w:t xml:space="preserve"> дахь тал</w:t>
      </w:r>
    </w:p>
    <w:p w14:paraId="5695C37E" w14:textId="77777777" w:rsidR="007109C2" w:rsidRPr="00443D94" w:rsidRDefault="007109C2" w:rsidP="007109C2">
      <w:pPr>
        <w:spacing w:line="240" w:lineRule="auto"/>
        <w:rPr>
          <w:rFonts w:ascii="Times New Roman" w:hAnsi="Times New Roman"/>
          <w:sz w:val="24"/>
          <w:lang w:val="mn-MN"/>
        </w:rPr>
      </w:pPr>
    </w:p>
    <w:p w14:paraId="4A79984F" w14:textId="77777777" w:rsidR="007109C2" w:rsidRPr="00443D94" w:rsidRDefault="007109C2" w:rsidP="007109C2">
      <w:pPr>
        <w:spacing w:line="240" w:lineRule="auto"/>
        <w:jc w:val="center"/>
        <w:rPr>
          <w:rFonts w:ascii="Times New Roman" w:hAnsi="Times New Roman"/>
          <w:b/>
          <w:bCs/>
          <w:color w:val="000000" w:themeColor="text1"/>
          <w:sz w:val="24"/>
          <w:lang w:val="mn-MN"/>
        </w:rPr>
      </w:pPr>
    </w:p>
    <w:p w14:paraId="2F362759" w14:textId="40FE7DF4" w:rsidR="00EE16ED" w:rsidRPr="00443D94" w:rsidRDefault="00EE16ED" w:rsidP="007109C2">
      <w:pPr>
        <w:spacing w:line="240" w:lineRule="auto"/>
        <w:jc w:val="both"/>
        <w:rPr>
          <w:rFonts w:ascii="Times New Roman" w:hAnsi="Times New Roman"/>
          <w:bCs/>
          <w:color w:val="000000" w:themeColor="text1"/>
          <w:sz w:val="24"/>
          <w:lang w:val="mn-MN"/>
        </w:rPr>
      </w:pPr>
    </w:p>
    <w:bookmarkEnd w:id="0"/>
    <w:p w14:paraId="7FBF3DDF" w14:textId="77777777" w:rsidR="00D31B73" w:rsidRPr="00443D94" w:rsidRDefault="00D31B73" w:rsidP="008049E2">
      <w:pPr>
        <w:spacing w:line="240" w:lineRule="auto"/>
        <w:jc w:val="center"/>
        <w:rPr>
          <w:rFonts w:ascii="Times New Roman" w:eastAsia="Times New Roman" w:hAnsi="Times New Roman"/>
          <w:b/>
          <w:bCs/>
          <w:sz w:val="24"/>
          <w:lang w:val="mn-MN"/>
        </w:rPr>
      </w:pPr>
    </w:p>
    <w:p w14:paraId="5687A853" w14:textId="6331921D" w:rsidR="00EE16ED" w:rsidRPr="00443D94" w:rsidRDefault="00EE16ED" w:rsidP="008049E2">
      <w:pPr>
        <w:spacing w:line="240" w:lineRule="auto"/>
        <w:jc w:val="center"/>
        <w:rPr>
          <w:rFonts w:ascii="Times New Roman" w:eastAsia="Times New Roman" w:hAnsi="Times New Roman"/>
          <w:b/>
          <w:bCs/>
          <w:sz w:val="24"/>
          <w:lang w:val="mn-MN"/>
        </w:rPr>
      </w:pPr>
      <w:r w:rsidRPr="00443D94">
        <w:rPr>
          <w:rFonts w:ascii="Times New Roman" w:eastAsia="Times New Roman" w:hAnsi="Times New Roman"/>
          <w:b/>
          <w:bCs/>
          <w:sz w:val="24"/>
          <w:lang w:val="mn-MN"/>
        </w:rPr>
        <w:t>ПАРЛАМЕНТЫГ ТАРААХ  ҮНДЭСЛЭЛ, ТҮҮНИЙ ҮНДСЭН ХУУЛИЙН</w:t>
      </w:r>
      <w:r w:rsidR="00FD524F" w:rsidRPr="00443D94">
        <w:rPr>
          <w:rFonts w:ascii="Times New Roman" w:eastAsia="Times New Roman" w:hAnsi="Times New Roman"/>
          <w:b/>
          <w:bCs/>
          <w:sz w:val="24"/>
          <w:lang w:val="mn-MN"/>
        </w:rPr>
        <w:t xml:space="preserve"> </w:t>
      </w:r>
      <w:r w:rsidRPr="00443D94">
        <w:rPr>
          <w:rFonts w:ascii="Times New Roman" w:eastAsia="Times New Roman" w:hAnsi="Times New Roman"/>
          <w:b/>
          <w:bCs/>
          <w:sz w:val="24"/>
          <w:lang w:val="mn-MN"/>
        </w:rPr>
        <w:t>ЗОХИЦУУЛАЛТ</w:t>
      </w:r>
    </w:p>
    <w:p w14:paraId="2D5158F6" w14:textId="77777777" w:rsidR="00EE16ED" w:rsidRPr="00443D94" w:rsidRDefault="00EE16ED" w:rsidP="008049E2">
      <w:pPr>
        <w:spacing w:line="240" w:lineRule="auto"/>
        <w:ind w:firstLine="720"/>
        <w:jc w:val="center"/>
        <w:rPr>
          <w:rFonts w:ascii="Times New Roman" w:eastAsia="Times New Roman" w:hAnsi="Times New Roman"/>
          <w:b/>
          <w:bCs/>
          <w:sz w:val="24"/>
          <w:lang w:val="mn-MN"/>
        </w:rPr>
      </w:pPr>
    </w:p>
    <w:p w14:paraId="24CEA2EC" w14:textId="77777777" w:rsidR="00EE16ED" w:rsidRPr="00443D94" w:rsidRDefault="00EE16ED" w:rsidP="008049E2">
      <w:pPr>
        <w:spacing w:line="240" w:lineRule="auto"/>
        <w:ind w:firstLine="720"/>
        <w:jc w:val="center"/>
        <w:rPr>
          <w:rFonts w:ascii="Times New Roman" w:eastAsia="Times New Roman" w:hAnsi="Times New Roman"/>
          <w:b/>
          <w:bCs/>
          <w:sz w:val="24"/>
          <w:lang w:val="mn-MN"/>
        </w:rPr>
      </w:pPr>
    </w:p>
    <w:p w14:paraId="264CEB23" w14:textId="77777777" w:rsidR="00EE16ED" w:rsidRPr="00443D94" w:rsidRDefault="00EE16ED" w:rsidP="00B2205E">
      <w:pPr>
        <w:spacing w:line="240" w:lineRule="auto"/>
        <w:jc w:val="center"/>
        <w:rPr>
          <w:rFonts w:ascii="Times New Roman" w:eastAsia="Times New Roman" w:hAnsi="Times New Roman"/>
          <w:b/>
          <w:bCs/>
          <w:sz w:val="24"/>
          <w:lang w:val="mn-MN"/>
        </w:rPr>
      </w:pPr>
      <w:r w:rsidRPr="00443D94">
        <w:rPr>
          <w:rFonts w:ascii="Times New Roman" w:eastAsia="Times New Roman" w:hAnsi="Times New Roman"/>
          <w:b/>
          <w:bCs/>
          <w:sz w:val="24"/>
          <w:lang w:val="mn-MN"/>
        </w:rPr>
        <w:t>Д.Сүхболд</w:t>
      </w:r>
    </w:p>
    <w:p w14:paraId="6FE5686A" w14:textId="44A08453" w:rsidR="00EE16ED" w:rsidRPr="00443D94" w:rsidRDefault="00EE16ED" w:rsidP="00B2205E">
      <w:pPr>
        <w:spacing w:line="240" w:lineRule="auto"/>
        <w:jc w:val="center"/>
        <w:rPr>
          <w:rFonts w:ascii="Times New Roman" w:eastAsia="Times New Roman" w:hAnsi="Times New Roman"/>
          <w:bCs/>
          <w:sz w:val="24"/>
          <w:lang w:val="mn-MN"/>
        </w:rPr>
      </w:pPr>
      <w:r w:rsidRPr="00443D94">
        <w:rPr>
          <w:rFonts w:ascii="Times New Roman" w:eastAsia="Times New Roman" w:hAnsi="Times New Roman"/>
          <w:bCs/>
          <w:sz w:val="24"/>
          <w:lang w:val="mn-MN"/>
        </w:rPr>
        <w:t>Улаанбаатар Эрдэм Их Сургуулийн профессор, доктор</w:t>
      </w:r>
    </w:p>
    <w:p w14:paraId="4EE3AE62" w14:textId="77777777" w:rsidR="00EE16ED" w:rsidRPr="00443D94" w:rsidRDefault="00EE16ED" w:rsidP="008049E2">
      <w:pPr>
        <w:spacing w:line="240" w:lineRule="auto"/>
        <w:ind w:firstLine="720"/>
        <w:jc w:val="right"/>
        <w:rPr>
          <w:rFonts w:ascii="Times New Roman" w:eastAsia="Times New Roman" w:hAnsi="Times New Roman"/>
          <w:bCs/>
          <w:sz w:val="24"/>
          <w:lang w:val="mn-MN"/>
        </w:rPr>
      </w:pPr>
    </w:p>
    <w:p w14:paraId="0FA5B375" w14:textId="77777777" w:rsidR="00EE16ED" w:rsidRPr="00443D94" w:rsidRDefault="00EE16ED" w:rsidP="008049E2">
      <w:pPr>
        <w:spacing w:line="240" w:lineRule="auto"/>
        <w:rPr>
          <w:rFonts w:ascii="Times New Roman" w:hAnsi="Times New Roman"/>
          <w:sz w:val="24"/>
          <w:lang w:val="mn-MN"/>
        </w:rPr>
      </w:pPr>
    </w:p>
    <w:p w14:paraId="62E2386A" w14:textId="44D55CCF" w:rsidR="00EE16ED" w:rsidRPr="00443D94" w:rsidRDefault="00EE16ED" w:rsidP="008049E2">
      <w:pPr>
        <w:spacing w:line="240" w:lineRule="auto"/>
        <w:jc w:val="both"/>
        <w:rPr>
          <w:rFonts w:ascii="Times New Roman" w:eastAsia="Times New Roman" w:hAnsi="Times New Roman"/>
          <w:b/>
          <w:sz w:val="24"/>
          <w:lang w:val="mn-MN"/>
        </w:rPr>
      </w:pPr>
      <w:r w:rsidRPr="00443D94">
        <w:rPr>
          <w:rFonts w:ascii="Times New Roman" w:eastAsia="Times New Roman" w:hAnsi="Times New Roman"/>
          <w:b/>
          <w:sz w:val="24"/>
          <w:lang w:val="mn-MN"/>
        </w:rPr>
        <w:t>Хураангуй</w:t>
      </w:r>
    </w:p>
    <w:p w14:paraId="20B46D64" w14:textId="77777777" w:rsidR="00FD524F" w:rsidRPr="00443D94" w:rsidRDefault="00FD524F" w:rsidP="008049E2">
      <w:pPr>
        <w:spacing w:line="240" w:lineRule="auto"/>
        <w:jc w:val="both"/>
        <w:rPr>
          <w:rFonts w:ascii="Times New Roman" w:eastAsia="Times New Roman" w:hAnsi="Times New Roman"/>
          <w:sz w:val="24"/>
          <w:lang w:val="mn-MN"/>
        </w:rPr>
      </w:pPr>
    </w:p>
    <w:p w14:paraId="1B9B1B18" w14:textId="4B65EFFC"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Парламентыг тараах үндэслэл, түүний  Үндсэн хуулийн зохицуулалт нь үндсэн хуульт ёсны хөгжил ба парламентат ёс, төрийн байгуулал судлал, цаашлаад Үндсэн хуулийн эрх зүй судлал дахь төрийн эрх мэдлийн хуваарилалт, түүний хяналт, тэнцэлтэй холбогдох  нарийн ээдрээтэй механизмыг агуулсан, цаашид судалбал зохих тулгамдсан сэдвүүдийн нэг. </w:t>
      </w:r>
      <w:r w:rsidRPr="00443D94">
        <w:rPr>
          <w:rFonts w:ascii="Times New Roman" w:hAnsi="Times New Roman"/>
          <w:sz w:val="24"/>
          <w:lang w:val="mn-MN"/>
        </w:rPr>
        <w:t>Тиймээс</w:t>
      </w:r>
      <w:r w:rsidRPr="00443D94">
        <w:rPr>
          <w:rFonts w:ascii="Times New Roman" w:hAnsi="Times New Roman"/>
          <w:b/>
          <w:sz w:val="24"/>
          <w:lang w:val="mn-MN"/>
        </w:rPr>
        <w:t xml:space="preserve"> </w:t>
      </w:r>
      <w:r w:rsidRPr="00443D94">
        <w:rPr>
          <w:rFonts w:ascii="Times New Roman" w:eastAsia="Times New Roman" w:hAnsi="Times New Roman"/>
          <w:sz w:val="24"/>
          <w:lang w:val="mn-MN"/>
        </w:rPr>
        <w:t>хууль тогтоох болон гүйцэтгэх засаглалын хяналт, тэнцлийг тодорхой болгох гол механизм болсон парламентыг тараах үндэслэл, түүний Үндсэн хуулийн зохицуулалтыг гадаад улсуудын Үндсэн хуульд тулгуурлан зохих түвшинд судлан шинжилж, Үндсэн хуулийн эрх зүйн шинжлэх ухааны эргэлтэд оруулах хэрэгцээ, шаардлага, зорилгын улмаас энэхүү өгүүллийг бичсэн.</w:t>
      </w:r>
    </w:p>
    <w:p w14:paraId="286B205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Ийнхүү харьцуулсан судалгаа хийхдээ парламентыг тараах тухай Үндсэн хуулийн зохицуулалтын тодорхой төрлүүдийг зохих түвшинд харьцуулан судалсны үндсэн дээр Монгол Улсын Үндсэн хуульд тусгагдсан Улсын Их Хурлыг тараах эрх зүйн зохицуулалтад дүгнэлт хийсэн гэдгээрээ ач холбогдолтой байж болох юм. </w:t>
      </w:r>
    </w:p>
    <w:p w14:paraId="30C575EA" w14:textId="77777777" w:rsidR="00EE16ED" w:rsidRPr="00443D94" w:rsidRDefault="00EE16ED" w:rsidP="008049E2">
      <w:pPr>
        <w:spacing w:line="240" w:lineRule="auto"/>
        <w:jc w:val="both"/>
        <w:rPr>
          <w:rFonts w:ascii="Times New Roman" w:eastAsia="Times New Roman" w:hAnsi="Times New Roman"/>
          <w:sz w:val="24"/>
          <w:lang w:val="mn-MN"/>
        </w:rPr>
      </w:pPr>
    </w:p>
    <w:p w14:paraId="22495B97"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eastAsia="Times New Roman" w:hAnsi="Times New Roman"/>
          <w:b/>
          <w:sz w:val="24"/>
          <w:lang w:val="mn-MN"/>
        </w:rPr>
        <w:t xml:space="preserve">Түлхүүр үг: </w:t>
      </w:r>
      <w:r w:rsidRPr="00443D94">
        <w:rPr>
          <w:rFonts w:ascii="Times New Roman" w:hAnsi="Times New Roman"/>
          <w:sz w:val="24"/>
          <w:lang w:val="mn-MN"/>
        </w:rPr>
        <w:t>Парламент, парламентыг тараах, парламентыг татан буулгах, бүх нийтийн санал асуулга, гүйцэтгэх эрх мэдэл</w:t>
      </w:r>
    </w:p>
    <w:p w14:paraId="734B7191" w14:textId="77777777" w:rsidR="00EE16ED" w:rsidRPr="00443D94" w:rsidRDefault="00EE16ED" w:rsidP="008049E2">
      <w:pPr>
        <w:spacing w:line="240" w:lineRule="auto"/>
        <w:ind w:firstLine="720"/>
        <w:jc w:val="both"/>
        <w:rPr>
          <w:rFonts w:ascii="Times New Roman" w:eastAsia="Times New Roman" w:hAnsi="Times New Roman"/>
          <w:b/>
          <w:sz w:val="24"/>
          <w:lang w:val="mn-MN"/>
        </w:rPr>
      </w:pPr>
    </w:p>
    <w:p w14:paraId="3050ACFB" w14:textId="77777777" w:rsidR="00EE16ED" w:rsidRPr="00443D94" w:rsidRDefault="00EE16ED" w:rsidP="008049E2">
      <w:pPr>
        <w:spacing w:line="240" w:lineRule="auto"/>
        <w:jc w:val="both"/>
        <w:rPr>
          <w:rFonts w:ascii="Times New Roman" w:eastAsia="Times New Roman" w:hAnsi="Times New Roman"/>
          <w:b/>
          <w:sz w:val="24"/>
          <w:lang w:val="mn-MN"/>
        </w:rPr>
      </w:pPr>
      <w:r w:rsidRPr="00443D94">
        <w:rPr>
          <w:rFonts w:ascii="Times New Roman" w:eastAsia="Times New Roman" w:hAnsi="Times New Roman"/>
          <w:b/>
          <w:sz w:val="24"/>
          <w:lang w:val="mn-MN"/>
        </w:rPr>
        <w:t>Оршил</w:t>
      </w:r>
    </w:p>
    <w:p w14:paraId="332D3D6D" w14:textId="77777777" w:rsidR="00FD524F" w:rsidRPr="00443D94" w:rsidRDefault="00FD524F" w:rsidP="008049E2">
      <w:pPr>
        <w:spacing w:line="240" w:lineRule="auto"/>
        <w:jc w:val="both"/>
        <w:rPr>
          <w:rFonts w:ascii="Times New Roman" w:hAnsi="Times New Roman"/>
          <w:color w:val="050505"/>
          <w:sz w:val="24"/>
          <w:shd w:val="clear" w:color="auto" w:fill="FFFFFF"/>
          <w:lang w:val="mn-MN"/>
        </w:rPr>
      </w:pPr>
    </w:p>
    <w:p w14:paraId="2208E2D7" w14:textId="485655FA" w:rsidR="00EE16ED" w:rsidRPr="00443D94" w:rsidRDefault="00EE16ED" w:rsidP="008049E2">
      <w:pPr>
        <w:spacing w:line="240" w:lineRule="auto"/>
        <w:jc w:val="both"/>
        <w:rPr>
          <w:rFonts w:ascii="Times New Roman" w:hAnsi="Times New Roman"/>
          <w:color w:val="050505"/>
          <w:sz w:val="24"/>
          <w:shd w:val="clear" w:color="auto" w:fill="FFFFFF"/>
          <w:lang w:val="mn-MN"/>
        </w:rPr>
      </w:pPr>
      <w:r w:rsidRPr="00443D94">
        <w:rPr>
          <w:rFonts w:ascii="Times New Roman" w:hAnsi="Times New Roman"/>
          <w:color w:val="050505"/>
          <w:sz w:val="24"/>
          <w:shd w:val="clear" w:color="auto" w:fill="FFFFFF"/>
          <w:lang w:val="mn-MN"/>
        </w:rPr>
        <w:t xml:space="preserve">Бүхий л Үндсэн хуулийн зорилго нь нийтийн сайн сайхны төлөө ажиллаж чадах ухаалаг, алсын хараатай шигшмэл хүмүүсээр төрийг удирдуулж, дараа нь тэдгээр хүмүүс албан тушаалаа урвуулан ашиглахаас хамгаалах механизмыг бүрдүүлэх явдал юм. Тодруулбал хууль тогтоох, гүйцэтгэх, шүүх эрх мэдлийн байгууллагууд, тэдгээрийг төлөөлсөн төрийн өндөр албан тушаалтан улс төрийн хариуцлага хүлээх гол хэлбэр нь татан буугдах, огцох, тарах явдал агаад түүнийг гагцхүү Үндсэн хуулиар зохицуулдаг. Харин энэхүү өгүүллэгээр ард түмнээс сонгогдсон хууль тогтоох байгууллага буюу парламентыг тараах тухай Үндсэн хуулийн зохицуулалтын талаар авч үзсэн болно. </w:t>
      </w:r>
    </w:p>
    <w:p w14:paraId="49F31AC9" w14:textId="77777777" w:rsidR="00EE16ED" w:rsidRPr="00443D94" w:rsidRDefault="00EE16ED" w:rsidP="008049E2">
      <w:pPr>
        <w:spacing w:line="240" w:lineRule="auto"/>
        <w:ind w:firstLine="720"/>
        <w:jc w:val="both"/>
        <w:rPr>
          <w:rFonts w:ascii="Times New Roman" w:hAnsi="Times New Roman"/>
          <w:color w:val="050505"/>
          <w:sz w:val="24"/>
          <w:shd w:val="clear" w:color="auto" w:fill="FFFFFF"/>
          <w:lang w:val="mn-MN"/>
        </w:rPr>
      </w:pPr>
      <w:r w:rsidRPr="00443D94">
        <w:rPr>
          <w:rFonts w:ascii="Times New Roman" w:hAnsi="Times New Roman"/>
          <w:color w:val="050505"/>
          <w:sz w:val="24"/>
          <w:shd w:val="clear" w:color="auto" w:fill="FFFFFF"/>
          <w:lang w:val="mn-MN"/>
        </w:rPr>
        <w:t xml:space="preserve">Ард түмнээс мандат (бүрэн эрх) авсан, хууль тогтоох, төлөөөлөгчдийн байгууллага тарахад хүндтэй шалтгаан байх ёстой. </w:t>
      </w:r>
      <w:r w:rsidRPr="00443D94">
        <w:rPr>
          <w:rFonts w:ascii="Times New Roman" w:eastAsia="Times New Roman" w:hAnsi="Times New Roman"/>
          <w:sz w:val="24"/>
          <w:lang w:val="mn-MN"/>
        </w:rPr>
        <w:t xml:space="preserve">Үндсэн хуулийн эрх зүйн шинжлэх ухаан болон төрийн байгуулал судлалын үүднээс үзвэл парламентыг бүрэн эрхийн хугацаанаас нь өмнө тараах, ээлжит бус сонгууль явуулах явдал нь хууль тогтоох болон гүйцэтгэх эрх мэдлийн хоорондох зөрчлийг шийдэх төдийгүй Засгийн газрыг байгуулах, огцруулах үйл явцтай нягт уялдаатай, улс төрийн хүчний тэнцвэрт байдалд нөлөөлж чадах улс төр, эрх зүйн хүчирхэг арга механизмын нэг юм. </w:t>
      </w:r>
      <w:r w:rsidRPr="00443D94">
        <w:rPr>
          <w:rFonts w:ascii="Times New Roman" w:hAnsi="Times New Roman"/>
          <w:color w:val="050505"/>
          <w:sz w:val="24"/>
          <w:shd w:val="clear" w:color="auto" w:fill="FFFFFF"/>
          <w:lang w:val="mn-MN"/>
        </w:rPr>
        <w:t xml:space="preserve"> </w:t>
      </w:r>
    </w:p>
    <w:p w14:paraId="0E57723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eastAsia="Times New Roman" w:hAnsi="Times New Roman"/>
          <w:sz w:val="24"/>
          <w:lang w:val="mn-MN"/>
        </w:rPr>
        <w:t xml:space="preserve">Өгүүллэгийн товч агуулгын хувьд парламентыг тараах онол, түүхийн үндэслэл, парламентыг тараах цаг хугацаа, нөхцөл байдлын хязгаарлалт, парламентыг тараах Үндсэн </w:t>
      </w:r>
      <w:r w:rsidRPr="00443D94">
        <w:rPr>
          <w:rFonts w:ascii="Times New Roman" w:eastAsia="Times New Roman" w:hAnsi="Times New Roman"/>
          <w:sz w:val="24"/>
          <w:lang w:val="mn-MN"/>
        </w:rPr>
        <w:lastRenderedPageBreak/>
        <w:t xml:space="preserve">хуулийн зохицуулалтууд болох (1) Парламент бүрэн эрхээ хэрэгжүүлж чадахгүйд хүрэх, (2) Парламент өөрөө тарах, (3) Парламентыг бүх нийтийн санал асуулгаар тараах, (4) Засгийн газрыг байгуулж чадахгүйд хүрсний улмаас парламент тарах, (5) Парламентын зүгээс гүйцэтгэх эрх мэдлийн бие даасан, хараат бус байдалд халдах, (6) Ерөнхий сайд, түүний кабинетэд итгэл үзүүлэх, эс үзүүлэх асуудлаар парламент тарах, (7) </w:t>
      </w:r>
      <w:r w:rsidRPr="00443D94">
        <w:rPr>
          <w:rFonts w:ascii="Times New Roman" w:hAnsi="Times New Roman"/>
          <w:sz w:val="24"/>
          <w:lang w:val="mn-MN"/>
        </w:rPr>
        <w:t>Ерөнхийлөгчийг парламентаас сонгож чадахгүй байгаа тохиолдолд парламентыг тараах,  (8) Монгол Улсын Үндсэн хуульд тусгагдсан Улсын Их Хурлыг тараах эрх зүйн зохицуулалт зэрэг асуудлыг гадаад улсуудын Үндсэн хуулийн зохицуулалтын зарим жишээн дээр харьцуулан судалсан болно.</w:t>
      </w:r>
    </w:p>
    <w:p w14:paraId="41F44E6E" w14:textId="77777777" w:rsidR="00FD524F" w:rsidRPr="00443D94" w:rsidRDefault="00FD524F" w:rsidP="008049E2">
      <w:pPr>
        <w:spacing w:line="240" w:lineRule="auto"/>
        <w:jc w:val="both"/>
        <w:rPr>
          <w:rFonts w:ascii="Times New Roman" w:eastAsia="Times New Roman" w:hAnsi="Times New Roman"/>
          <w:sz w:val="24"/>
          <w:lang w:val="mn-MN"/>
        </w:rPr>
      </w:pPr>
    </w:p>
    <w:p w14:paraId="5F7468E4" w14:textId="1246D209" w:rsidR="00EE16ED" w:rsidRPr="00443D94" w:rsidRDefault="00EE16ED" w:rsidP="008049E2">
      <w:pPr>
        <w:spacing w:line="240" w:lineRule="auto"/>
        <w:jc w:val="both"/>
        <w:rPr>
          <w:rFonts w:ascii="Times New Roman" w:eastAsia="Times New Roman" w:hAnsi="Times New Roman"/>
          <w:b/>
          <w:sz w:val="24"/>
          <w:lang w:val="mn-MN"/>
        </w:rPr>
      </w:pPr>
      <w:r w:rsidRPr="00443D94">
        <w:rPr>
          <w:rFonts w:ascii="Times New Roman" w:eastAsia="Times New Roman" w:hAnsi="Times New Roman"/>
          <w:b/>
          <w:sz w:val="24"/>
          <w:lang w:val="mn-MN"/>
        </w:rPr>
        <w:t xml:space="preserve">Парламентыг тараах тухай: онол, түүхэн асуудал </w:t>
      </w:r>
    </w:p>
    <w:p w14:paraId="25B0C1FA" w14:textId="77777777" w:rsidR="00FD524F" w:rsidRPr="00443D94" w:rsidRDefault="00FD524F" w:rsidP="008049E2">
      <w:pPr>
        <w:spacing w:line="240" w:lineRule="auto"/>
        <w:jc w:val="both"/>
        <w:rPr>
          <w:rFonts w:ascii="Times New Roman" w:eastAsia="Times New Roman" w:hAnsi="Times New Roman"/>
          <w:sz w:val="24"/>
          <w:lang w:val="mn-MN"/>
        </w:rPr>
      </w:pPr>
    </w:p>
    <w:p w14:paraId="0FE8E5C5" w14:textId="54719D6A"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Парламентыг тараах, парламентыг татан буулгах гэсэн хоёр ойлголт нь агуулгын хувьд ялгаатай. Тодруулбал хууль тогтоох болон гүйцэтгэх эрх мэдэл хоорондын зөрчлийг шийдэхийн тулд хаан, Ерөнхийлөгч, Ерөнхий сайдын зүгээс парламентыг бүрэн эрхийн хугацаанаас нь өмнө тараах, ээлжит бус сонгууль явуулахыг парламентыг тараах гэдэг. </w:t>
      </w:r>
    </w:p>
    <w:p w14:paraId="74C3827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Харин парламентыг татан буулгах гэдэг нь хууль тогтоох байгууллагыг тэр чигээр нь татан буулгаж, үгүй болгож байгаа хэрэг юм. Төрийн эрх мэдлийн хуваарилалтыг удирдлага болгодог улсын хувьд парламентыг огт байхгүй болгож, татан буулгах онолын ямар ч боломжгүй. Харин тухайн улсад төрийн эргэлт, хувьсгал, тэмцэл гарч, ардчилсан улс төрийн дэглэмээс дарангуйлагч дэглэм уруу шилжиж, диктатурын засаглал  тогтоохын тулд өмнөх төрийн байгууллагуудыг (хууль тогтоох, гүйцэтгэх, шүүх) татан буулгах тохиолдолд парламент үгүй болох асуудал яригдана. Тухайлбал 1992 онд Перугийн Ерөнхийлөгч Альберто Фухимори хууль тогтоох болон шүүх эрх мэдлийг аль алиныг нь татан буулгаж, төрийн эргэлт хийсэн түүхтэй.</w:t>
      </w:r>
    </w:p>
    <w:p w14:paraId="0B710F83"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Харин парламентыг тараах тухай улс төр, эрх зүйн онолын үндэслэл нь дундад зууны үеийн Европын парламентат ёсны түүхтэй анх холбогдоно. Тодруулбал дундад зууны үеийн Английн эзэн хаан төрийн үйл хэргийг удирдан жолоодохтой холбогдсон санал, зөвлөгөө авах, хууль батлах, алба татвар хураах зорилгоор Их зөвлөлийг (парламент) тодорхой хугацаанд зарлан хуралдуулахын зэрэгцээ өөрийн үзэмжээр  тараах эрхтэй байсантай холбоотой. </w:t>
      </w:r>
    </w:p>
    <w:p w14:paraId="0B6CC6D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Парламентыг тараах эзэн хааны энэхүү өргөн эрх мэдэл нь үндсэн хуульт ёсны хөгжлийн эхэн үед бичигдсэн олон Үндсэн хуулиудад хадгалагдан үлджээ. Тухайлбал 1814 оны Францын Үндсэн хууль, 1831 оны Бельгийн Үндсэн хууль, 1866 оны Румыний Үндсэн хууль, 1889 оны Японы Үндсэн хууль зэрэгт ийм төрлийн зохицуулалт байсан агаад зарчмын хувьд хаан нь ямар ч үед, ямар ч шалтгаанаар парламентыг тараахыг зөвшөөрдөг байв. </w:t>
      </w:r>
    </w:p>
    <w:p w14:paraId="153DA072" w14:textId="77777777" w:rsidR="00687743" w:rsidRPr="00443D94" w:rsidRDefault="00EE16ED" w:rsidP="00687743">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Түүнчлэн дээрх Үндсэн хуулиудад хааны зүгээс парламентыг тараах эрх мэдлийг хаанд байх ёстой, хааны зүгээс парламентыг хянан шалгах консерватив шалгалт гэж үздэг байв. </w:t>
      </w:r>
    </w:p>
    <w:p w14:paraId="741A7E2B" w14:textId="088FF1D8" w:rsidR="00687743" w:rsidRPr="00443D94" w:rsidRDefault="00EE16ED" w:rsidP="00687743">
      <w:pPr>
        <w:spacing w:line="240" w:lineRule="auto"/>
        <w:ind w:firstLine="720"/>
        <w:jc w:val="both"/>
        <w:rPr>
          <w:rFonts w:ascii="Times New Roman" w:eastAsia="Times New Roman" w:hAnsi="Times New Roman"/>
          <w:sz w:val="24"/>
          <w:lang w:val="mn-MN"/>
        </w:rPr>
        <w:sectPr w:rsidR="00687743"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eastAsia="Times New Roman" w:hAnsi="Times New Roman"/>
          <w:sz w:val="24"/>
          <w:lang w:val="mn-MN"/>
        </w:rPr>
        <w:t>Парламентыг хүссэн үедээ тараах хааны эрх мэдэл урт удаан хугацаанд үргэлжилж чадаагүй юм. Энэ нь Европын олон оронд улс төрийн намууд үүсэн байгуулагд</w:t>
      </w:r>
      <w:r w:rsidR="00FD524F" w:rsidRPr="00443D94">
        <w:rPr>
          <w:rFonts w:ascii="Times New Roman" w:eastAsia="Times New Roman" w:hAnsi="Times New Roman"/>
          <w:sz w:val="24"/>
          <w:lang w:val="mn-MN"/>
        </w:rPr>
        <w:t>аж</w:t>
      </w:r>
    </w:p>
    <w:p w14:paraId="08D868B1" w14:textId="45D1637D" w:rsidR="00EE16ED" w:rsidRPr="00443D94" w:rsidRDefault="00EE16ED" w:rsidP="00687743">
      <w:pPr>
        <w:spacing w:line="240" w:lineRule="auto"/>
        <w:jc w:val="both"/>
        <w:rPr>
          <w:rFonts w:ascii="Times New Roman" w:eastAsia="Times New Roman" w:hAnsi="Times New Roman"/>
          <w:sz w:val="24"/>
          <w:lang w:val="mn-MN"/>
        </w:rPr>
      </w:pPr>
      <w:r w:rsidRPr="00443D94">
        <w:rPr>
          <w:rStyle w:val="FootnoteReference"/>
          <w:rFonts w:ascii="Times New Roman" w:eastAsia="Times New Roman" w:hAnsi="Times New Roman"/>
          <w:sz w:val="24"/>
          <w:lang w:val="mn-MN"/>
        </w:rPr>
        <w:footnoteReference w:id="2"/>
      </w:r>
      <w:r w:rsidRPr="00443D94">
        <w:rPr>
          <w:rFonts w:ascii="Times New Roman" w:eastAsia="Times New Roman" w:hAnsi="Times New Roman"/>
          <w:sz w:val="24"/>
          <w:lang w:val="mn-MN"/>
        </w:rPr>
        <w:t xml:space="preserve">, парламентын олонхыг нам хэмээх шинэхэн тоглогч бүрдүүлэх болсонтой холбоотой. Өөрөөр хэлбэл парламентад олонх болсон улс төрийн намын дарга Засгийн газраа бүрдүүлж, өөрөө Ерөнхий сайд болдог Вестминтерийн тогтолцоо Англид үүссэнээр парламентыг тараах хааны эрх мэдэл XIX зууны үеэс Ерөнхий сайдад, төрийн тэргүүнд, Ерөнхийлөгчид шилжих эхлэл тавигдсан юм. </w:t>
      </w:r>
    </w:p>
    <w:p w14:paraId="713505A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Ийнхүү хаадууд гүйцэтгэх засаглалын тэргүүн байхаа больж, гагцхүү хүлээн зөвшөөрөгдсөн уламжлалт зан үйлийг ёсчлон гүйцэтгэдэг төрийн бэлгэдлийн чиг үүргээр л эрх мэдэл нь хязгаарлагддаг болжээ. Үүнийг дагаад парламентыг тараах хааны эрх мэдэл ч мөн бэлгэдлийн шинжтэй болов. Үүний тод жишээ нь зөвхөн Ерөнхий сайдын зөвлөснөөр хаан парламентыг тараах эрх мэдэлтэй болсон явдал. Тодруулбал Их Британийн парламентын доод буюу Нийтийн танхимыг Ерөнхий сайдын санал болгосноор хаан хугацаанаас нь өмнө тарааж болдог.</w:t>
      </w:r>
    </w:p>
    <w:p w14:paraId="1A277A3E"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Японы Төлөөлөгчдийн танхимыг Ерөнхий сайдын зөвлөснөөр эзэн хаан хэдийд ч тараах эрхтэй. </w:t>
      </w:r>
    </w:p>
    <w:p w14:paraId="77895F95"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Түүнчлэн парламентыг тараах, эс тараах, тараах эрх мэдэл хэнд байх, хэнтэй зөвлөлдөх эсэх нь тухайн улсын төрийн байгуулал, засаглалын хэлбэрээс ихэд хамаарна. Тухайлбал парламентын бүгд найрамдах болон Ерөнхийлөгч, парламентын хосолсон холимог засаглалтай улсуудад парламент Засгийн газарт итгэхгүй, түүнчлэн парламентаас гүйцэтгэх эрх мэдлийн тогтвортой байдалд халдсан үндэслэлээр төрийн тэргүүн буюу Ерөнхийлөгч парламентыг тараах эрхтэй. Энэ тохиолдолд </w:t>
      </w:r>
      <w:r w:rsidRPr="00443D94">
        <w:rPr>
          <w:rFonts w:ascii="Times New Roman" w:eastAsia="Times New Roman" w:hAnsi="Times New Roman"/>
          <w:iCs/>
          <w:sz w:val="24"/>
          <w:lang w:val="mn-MN"/>
        </w:rPr>
        <w:t>Ерөнхийлөгч</w:t>
      </w:r>
      <w:r w:rsidRPr="00443D94">
        <w:rPr>
          <w:rFonts w:ascii="Times New Roman" w:eastAsia="Times New Roman" w:hAnsi="Times New Roman"/>
          <w:sz w:val="24"/>
          <w:lang w:val="mn-MN"/>
        </w:rPr>
        <w:t xml:space="preserve"> өөрийн хүсэл зоригоос үл хамааран шаардлагатай тохиолдолд хуульд заасны дагуу парламентын бүрэн эрхийг хугацаанаас нь өмнө дуусгавар болгох тухай шийдвэр гаргадаг.</w:t>
      </w:r>
      <w:r w:rsidRPr="00443D94">
        <w:rPr>
          <w:rFonts w:ascii="Times New Roman" w:eastAsia="Times New Roman" w:hAnsi="Times New Roman"/>
          <w:sz w:val="24"/>
          <w:vertAlign w:val="superscript"/>
          <w:lang w:val="mn-MN"/>
        </w:rPr>
        <w:footnoteReference w:id="3"/>
      </w:r>
      <w:r w:rsidRPr="00443D94">
        <w:rPr>
          <w:rFonts w:ascii="Times New Roman" w:eastAsia="Times New Roman" w:hAnsi="Times New Roman"/>
          <w:sz w:val="24"/>
          <w:lang w:val="mn-MN"/>
        </w:rPr>
        <w:t xml:space="preserve"> Тухайлбал Грек улсад парламент нийгмийн санал бодолтой зөрчилдсөн, танхимын бүрэлдэхүүн нь Засгийн газрын тогтвортой үйл ажиллагааг алдагдуулахад хүргэсэн гэж үзвэл Засгийн газрын санал болгосноор Ерөнхийлөгч парламентыг тараах эрхтэй байдаг.</w:t>
      </w:r>
      <w:r w:rsidRPr="00443D94">
        <w:rPr>
          <w:rStyle w:val="FootnoteReference"/>
          <w:rFonts w:ascii="Times New Roman" w:eastAsia="Times New Roman" w:hAnsi="Times New Roman"/>
          <w:sz w:val="24"/>
          <w:lang w:val="mn-MN"/>
        </w:rPr>
        <w:footnoteReference w:id="4"/>
      </w:r>
    </w:p>
    <w:p w14:paraId="6C24C6C5" w14:textId="77777777" w:rsidR="00EE16ED" w:rsidRPr="00443D94" w:rsidRDefault="00EE16ED" w:rsidP="008049E2">
      <w:pPr>
        <w:autoSpaceDE w:val="0"/>
        <w:autoSpaceDN w:val="0"/>
        <w:adjustRightInd w:val="0"/>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Харин парламентын хоёр танхимтай улсуудад зөвхөн доод танхимыг тараадаг Үндсэн хуулийн нийтлэг зохицуулалт байдаг. Нийтлэг гэдэг нь хоёр танхимыг хоёуланг нь тараах тухай зохицуулалт зарим нэг улсын Үндсэн хуульд байдаг гэсэн санаа. Тухайлбал Испанийн Ерөнхий Кортес буюу парламент нь  Депутатуудын Конгресс болон Сенат гэсэн хоёр танхимтай. Доод танхим болох Депутатуудын Конгрессын шинэ сонгуулийн дараа Хаан парламентад төлөөлөл бүхий улс төрийн намуудтай зөвшилцөн Засгийн газрын тэргүүнд нэр дэвшүүлэх бөгөөд танхимын гишүүдийн олонх нь нэр дэвшигчид итгэл үзүүлсэн бол Хаан уг нэр дэвшигчийг Засгийн газрын тэргүүнээр томилдог. Хэрэв Депутатуудын Конгресс дэмжээгүй тохиолдолд дахин өөр хүнийг нэр дэвшүүлж санал хураалт явуулна. Ийнхүү хоёр дахин нэр дэвшүүлэхэд хэн нь ч танхимын гишүүдийн олонхын саналыг авч чадахгүй бол хоёр сарын дотор Хаан парламентын хоёр танхимыг хоёуланг нь тарааж шинэ сонгууль явуулна.</w:t>
      </w:r>
      <w:r w:rsidRPr="00443D94">
        <w:rPr>
          <w:rStyle w:val="FootnoteReference"/>
          <w:rFonts w:ascii="Times New Roman" w:eastAsia="Times New Roman" w:hAnsi="Times New Roman"/>
          <w:sz w:val="24"/>
          <w:lang w:val="mn-MN"/>
        </w:rPr>
        <w:footnoteReference w:id="5"/>
      </w:r>
    </w:p>
    <w:p w14:paraId="59EA664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Хоёр танхимыг хоёуланг нь тараадаг Үндсэн хуулийн зохицуулалт Испаниас өөр улсад төдий л байхгүй агаад дээр өгүүлсэнчлэн хоёр танхимтай парламентын гагцхүү доод танхимыг тараадаг зохицуулалт нийтлэг байна. Энэ нь төрийн бодлого тасалдах буюу огт парламентгүй болох эрсдэлээс урьдчилан сэргийлдэг. Тухайлбал Японы эзэн хаан Кабинетын саналын дагуу парламентын доод буюу Нийтийн танхимыг тараах эрхтэй</w:t>
      </w:r>
      <w:r w:rsidRPr="00443D94">
        <w:rPr>
          <w:rFonts w:ascii="Times New Roman" w:eastAsia="Times New Roman" w:hAnsi="Times New Roman"/>
          <w:sz w:val="24"/>
          <w:vertAlign w:val="superscript"/>
          <w:lang w:val="mn-MN"/>
        </w:rPr>
        <w:footnoteReference w:id="6"/>
      </w:r>
      <w:r w:rsidRPr="00443D94">
        <w:rPr>
          <w:rFonts w:ascii="Times New Roman" w:eastAsia="Times New Roman" w:hAnsi="Times New Roman"/>
          <w:sz w:val="24"/>
          <w:lang w:val="mn-MN"/>
        </w:rPr>
        <w:t xml:space="preserve"> бол Австрийн Ерөнхийлөгч парламентын доод танхимыг зөвхөн нэг удаа тараах эрхтэй. </w:t>
      </w:r>
    </w:p>
    <w:p w14:paraId="1062B59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Ер нь парламентыг тараах эрх мэдэл нь төрийн тэргүүн эсвэл Засгийн газрын тэргүүнд байгаа бол тухайн улсын төрийн байгуулал нь эдгээр субьектүүдэд эрх мэдлийг төвлөрүүлэх хандлагатай зохион байгуулагдсан гэсэн үг. </w:t>
      </w:r>
    </w:p>
    <w:p w14:paraId="35DD4F1A"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Тэгвэл төрийн эрх  мэдэл хуваарилах зарчмыг хатуу удирдлага болгодог, сонгодог Ерөнхийлөгчийн бүгд найрамдах улсад парламент Засгийн газрыг огцруулах, Ерөнхийлөгч парламентыг тараах эрхгүй байдаг. </w:t>
      </w:r>
      <w:r w:rsidRPr="00443D94">
        <w:rPr>
          <w:rFonts w:ascii="Times New Roman" w:hAnsi="Times New Roman"/>
          <w:sz w:val="24"/>
          <w:lang w:val="mn-MN"/>
        </w:rPr>
        <w:t xml:space="preserve">Тухайлбал </w:t>
      </w:r>
      <w:r w:rsidRPr="00443D94">
        <w:rPr>
          <w:rFonts w:ascii="Times New Roman" w:eastAsia="Times New Roman" w:hAnsi="Times New Roman"/>
          <w:sz w:val="24"/>
          <w:lang w:val="mn-MN"/>
        </w:rPr>
        <w:t>АНУ-ын Үндсэн хуульд Ерөнхийлөгчийн зүгээс Конгрессын хоёр танхимыг тараахыг зөвшөөрдөггүй. Харин онцгой тохиолдолд Ерөнхийлөгч Конгрессын хоёр танхимын аль нэгнийх нь чуулганыг зарлан хуралдуулж болох бөгөөд чуулгануудын хугацааг өөрчлөх асуудлаар хоёр танхим санал зөрсөн тохиолдолд зайлшгүй шаардлагатай гэж үзсэн тийм хугацаагаар хойшлуулж товлохыг зөвшөөрдөг.</w:t>
      </w:r>
      <w:r w:rsidRPr="00443D94">
        <w:rPr>
          <w:rStyle w:val="FootnoteReference"/>
          <w:rFonts w:ascii="Times New Roman" w:eastAsia="Times New Roman" w:hAnsi="Times New Roman"/>
          <w:sz w:val="24"/>
          <w:lang w:val="mn-MN"/>
        </w:rPr>
        <w:footnoteReference w:id="7"/>
      </w:r>
      <w:r w:rsidRPr="00443D94">
        <w:rPr>
          <w:rFonts w:ascii="Times New Roman" w:eastAsia="Times New Roman" w:hAnsi="Times New Roman"/>
          <w:sz w:val="24"/>
          <w:lang w:val="mn-MN"/>
        </w:rPr>
        <w:t xml:space="preserve"> Түүнчлэн 1787 оны Үндсэн хуулийн конвенцид оролцсон төлөөлөгчид дарангуйлал руу буцахаас сэргийлэхийн тулд Ерөнхийлөгчийн эрх мэдлийг хязгаарлах шаардлагатай гэдэг дээр санал нэгджээ. Энэ тухай “The federalist papers” бүтээлийг зохиогчдын нэг Александр Хамилтон дугаар 69 нийтлэлдээ өгүүлэхдээ “Их Британийн эзэн хаанаас ялгаатай нь Ерөнхийлөгч өөрийн үзэмжээр Конгрессыг огцруулах эрхгүй”</w:t>
      </w:r>
      <w:r w:rsidRPr="00443D94">
        <w:rPr>
          <w:rStyle w:val="FootnoteReference"/>
          <w:rFonts w:ascii="Times New Roman" w:eastAsia="Times New Roman" w:hAnsi="Times New Roman"/>
          <w:sz w:val="24"/>
          <w:lang w:val="mn-MN"/>
        </w:rPr>
        <w:footnoteReference w:id="8"/>
      </w:r>
      <w:r w:rsidRPr="00443D94">
        <w:rPr>
          <w:rFonts w:ascii="Times New Roman" w:eastAsia="Times New Roman" w:hAnsi="Times New Roman"/>
          <w:sz w:val="24"/>
          <w:lang w:val="mn-MN"/>
        </w:rPr>
        <w:t xml:space="preserve"> гэдгийг онцолсон байдаг.</w:t>
      </w:r>
    </w:p>
    <w:p w14:paraId="06306BD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үндсэн хуульт хаант засагтай зарим улсын Үндсэн хуульд парламентыг тараах улс төр, эрх зүйн зохицуулалт байдаггүй. Энэ нь ард түмнээс сонгогдсон, ард түмний эрх ашигт үйлчилдэг, ард түмний төлөөлийн байгууллыг өөр нэгэн субьект тараахыг хориглож буй явдал. Тухайлбал Норвеги улсын Стортинг буюу парламент бүрэн хугацаа дуусахаас өмнө тардаггүй.</w:t>
      </w:r>
      <w:r w:rsidRPr="00443D94">
        <w:rPr>
          <w:rStyle w:val="FootnoteReference"/>
          <w:rFonts w:ascii="Times New Roman" w:eastAsia="Times New Roman" w:hAnsi="Times New Roman"/>
          <w:sz w:val="24"/>
          <w:lang w:val="mn-MN"/>
        </w:rPr>
        <w:footnoteReference w:id="9"/>
      </w:r>
    </w:p>
    <w:p w14:paraId="0AA5F751" w14:textId="77777777" w:rsidR="00EE16ED" w:rsidRPr="00443D94" w:rsidRDefault="00EE16ED" w:rsidP="008049E2">
      <w:pPr>
        <w:spacing w:line="240" w:lineRule="auto"/>
        <w:ind w:firstLine="720"/>
        <w:jc w:val="both"/>
        <w:rPr>
          <w:rFonts w:ascii="Times New Roman" w:eastAsia="Times New Roman" w:hAnsi="Times New Roman"/>
          <w:sz w:val="24"/>
          <w:lang w:val="mn-MN"/>
        </w:rPr>
      </w:pPr>
    </w:p>
    <w:p w14:paraId="1C0D9A99" w14:textId="77777777" w:rsidR="00EE16ED" w:rsidRPr="00443D94" w:rsidRDefault="00EE16ED" w:rsidP="008049E2">
      <w:pPr>
        <w:spacing w:line="240" w:lineRule="auto"/>
        <w:jc w:val="both"/>
        <w:rPr>
          <w:rFonts w:ascii="Times New Roman" w:eastAsia="Times New Roman" w:hAnsi="Times New Roman"/>
          <w:b/>
          <w:bCs/>
          <w:iCs/>
          <w:sz w:val="24"/>
          <w:lang w:val="mn-MN"/>
        </w:rPr>
      </w:pPr>
      <w:r w:rsidRPr="00443D94">
        <w:rPr>
          <w:rFonts w:ascii="Times New Roman" w:eastAsia="Times New Roman" w:hAnsi="Times New Roman"/>
          <w:b/>
          <w:bCs/>
          <w:iCs/>
          <w:sz w:val="24"/>
          <w:lang w:val="mn-MN"/>
        </w:rPr>
        <w:t>Парламентыг тараах цаг хугацаа, нөхцөл байдлын хязгаарлалт</w:t>
      </w:r>
    </w:p>
    <w:p w14:paraId="1C2DEC46" w14:textId="77777777" w:rsidR="00FD524F" w:rsidRPr="00443D94" w:rsidRDefault="00FD524F" w:rsidP="008049E2">
      <w:pPr>
        <w:spacing w:line="240" w:lineRule="auto"/>
        <w:jc w:val="both"/>
        <w:rPr>
          <w:rFonts w:ascii="Times New Roman" w:eastAsia="Times New Roman" w:hAnsi="Times New Roman"/>
          <w:sz w:val="24"/>
          <w:lang w:val="mn-MN"/>
        </w:rPr>
      </w:pPr>
    </w:p>
    <w:p w14:paraId="50F08D96" w14:textId="13075AAA"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Парламент нь төрийн гурван салаа мөчрийн нэг, ард түмний нэрийн өмнөөс хууль тогтоодог, ард түмний төлөөллийн байгууллага гэдэг утгаараа түүнийг тараах, шинээр байгуулах асуудал тийм ч амар хялбар байдаггүй. Өөрөөр хэлбэл хууль тогтоох болон гүйцэтгэх эрх мэдлийн хоорондын зөрчлийг шийдвэрлэх, төрийн эрх мэдлийн хяналт, тэнцлийг тогтоох зорилгоор парламентыг тараах механизмыг гагцхүү Үндсэн хуулиар зохицуулсан байдаг. Ингэхдээ парламентыг тараах тодорхой шалгуур, цаг хугацаа, нөхцөл байдлын хязгаарлалтыг тогтоож өгсөн байдаг. Энэ нь хэн нэгэн этгээд, улс төрийн нам, бүлэглэлүүд парламентыг тараах асуудлыг дур зоргын шинжтэйгээр санаачлах, тараах боломжийг хязгаарлаж байгаа юм. Тухайлбал, ХБНГУ-д Холбооны Ерөнхийлөгч хоёр нөхцөлд Бундестагийг тараах боломжтой. Үүнд нэгдүгээрт, Бундестаг үнэмлэхүй олонхиор 21 хоногийн дотор холбооны Канцлерийг сонгож чадаагүй.</w:t>
      </w:r>
    </w:p>
    <w:p w14:paraId="3774A190"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Хоёрдугаарт Бундестаг холбооны Канцлерийн нэрийг танилцуулсны дараа 21 хоногийн дотор олонхын саналаар түүнд итгэл хүлээлгээгүй бөгөөд шинэ Канцлерийг сонгож чадаагүй гэсэн хоёр тохиолдол орно. </w:t>
      </w:r>
    </w:p>
    <w:p w14:paraId="1066E4A3"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Италийн Ерөнхийлөгч өөрийнхөө бүрэн эрхийн хугацааны сүүлийн 6 сард парламентыг тараах эрхгүй байдаг бол Чех улсад парламентын бүрэн эрхийн хугацаа дуусахаас өмнө 3 сарын өмнө доод танхимыг тарааж болохгүй Үндсэн хуулийн зохицуулалттай. </w:t>
      </w:r>
    </w:p>
    <w:p w14:paraId="565DF41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Грек, Франц</w:t>
      </w:r>
      <w:r w:rsidRPr="00443D94">
        <w:rPr>
          <w:rStyle w:val="FootnoteReference"/>
          <w:rFonts w:ascii="Times New Roman" w:eastAsia="Times New Roman" w:hAnsi="Times New Roman"/>
          <w:sz w:val="24"/>
          <w:lang w:val="mn-MN"/>
        </w:rPr>
        <w:footnoteReference w:id="10"/>
      </w:r>
      <w:r w:rsidRPr="00443D94">
        <w:rPr>
          <w:rFonts w:ascii="Times New Roman" w:eastAsia="Times New Roman" w:hAnsi="Times New Roman"/>
          <w:sz w:val="24"/>
          <w:lang w:val="mn-MN"/>
        </w:rPr>
        <w:t xml:space="preserve"> зэрэг улсуудад Ерөнхийлөгч нь парламентыг тараах эрхтэй боловч шинэ парламентын бүрэн эрхийн хугацаа эхэлснээс хойшхи нэг жилийн хугацаанд парламентыг тарааж болохгүй. </w:t>
      </w:r>
    </w:p>
    <w:p w14:paraId="6D69FD01"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Испани улсын Үндсэн хуульд зааснаар доод танхим болох Депутатуудын Конгресс сонгогдсоноос хойш нэг жилийн дотор парламентын танхимуудыг тарааж болохгүй</w:t>
      </w:r>
      <w:r w:rsidRPr="00443D94">
        <w:rPr>
          <w:rStyle w:val="FootnoteReference"/>
          <w:rFonts w:ascii="Times New Roman" w:eastAsia="Times New Roman" w:hAnsi="Times New Roman"/>
          <w:sz w:val="24"/>
          <w:lang w:val="mn-MN"/>
        </w:rPr>
        <w:footnoteReference w:id="11"/>
      </w:r>
      <w:r w:rsidRPr="00443D94">
        <w:rPr>
          <w:rFonts w:ascii="Times New Roman" w:eastAsia="Times New Roman" w:hAnsi="Times New Roman"/>
          <w:sz w:val="24"/>
          <w:lang w:val="mn-MN"/>
        </w:rPr>
        <w:t xml:space="preserve"> зохицуулалттай. Энэ нь байгуулагдаад удаагүй парламентын ажлын бүр дүнг харах хугацааг өгч байгаа хэрэг.</w:t>
      </w:r>
    </w:p>
    <w:p w14:paraId="161C09B9"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Казахтсанд Ерөнхийлөгч парламентыг тарааж, шинэ парламентыг бүрдүүлснээс хойш дахин нэг жилийн хугацаанд тарааж болдоггүй.</w:t>
      </w:r>
      <w:r w:rsidRPr="00443D94">
        <w:rPr>
          <w:rStyle w:val="FootnoteReference"/>
          <w:rFonts w:ascii="Times New Roman" w:eastAsia="Times New Roman" w:hAnsi="Times New Roman"/>
          <w:sz w:val="24"/>
          <w:lang w:val="mn-MN"/>
        </w:rPr>
        <w:footnoteReference w:id="12"/>
      </w:r>
      <w:r w:rsidRPr="00443D94">
        <w:rPr>
          <w:rFonts w:ascii="Times New Roman" w:eastAsia="Times New Roman" w:hAnsi="Times New Roman"/>
          <w:sz w:val="24"/>
          <w:lang w:val="mn-MN"/>
        </w:rPr>
        <w:t xml:space="preserve"> Түүнчлэн Грект дайны байдлын үед шинэ сонгууль явуултал парламентын бүрэн эрхийн хугацааг сунгаж болдог. </w:t>
      </w:r>
    </w:p>
    <w:p w14:paraId="4CADC982"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Казахстан</w:t>
      </w:r>
      <w:r w:rsidRPr="00443D94">
        <w:rPr>
          <w:rStyle w:val="FootnoteReference"/>
          <w:rFonts w:ascii="Times New Roman" w:eastAsia="Times New Roman" w:hAnsi="Times New Roman"/>
          <w:sz w:val="24"/>
          <w:lang w:val="mn-MN"/>
        </w:rPr>
        <w:footnoteReference w:id="13"/>
      </w:r>
      <w:r w:rsidRPr="00443D94">
        <w:rPr>
          <w:rFonts w:ascii="Times New Roman" w:eastAsia="Times New Roman" w:hAnsi="Times New Roman"/>
          <w:sz w:val="24"/>
          <w:lang w:val="mn-MN"/>
        </w:rPr>
        <w:t>, Португали</w:t>
      </w:r>
      <w:r w:rsidRPr="00443D94">
        <w:rPr>
          <w:rStyle w:val="FootnoteReference"/>
          <w:rFonts w:ascii="Times New Roman" w:eastAsia="Times New Roman" w:hAnsi="Times New Roman"/>
          <w:sz w:val="24"/>
          <w:lang w:val="mn-MN"/>
        </w:rPr>
        <w:footnoteReference w:id="14"/>
      </w:r>
      <w:r w:rsidRPr="00443D94">
        <w:rPr>
          <w:rFonts w:ascii="Times New Roman" w:eastAsia="Times New Roman" w:hAnsi="Times New Roman"/>
          <w:sz w:val="24"/>
          <w:lang w:val="mn-MN"/>
        </w:rPr>
        <w:t>, Франц</w:t>
      </w:r>
      <w:r w:rsidRPr="00443D94">
        <w:rPr>
          <w:rStyle w:val="FootnoteReference"/>
          <w:rFonts w:ascii="Times New Roman" w:eastAsia="Times New Roman" w:hAnsi="Times New Roman"/>
          <w:sz w:val="24"/>
          <w:lang w:val="mn-MN"/>
        </w:rPr>
        <w:footnoteReference w:id="15"/>
      </w:r>
      <w:r w:rsidRPr="00443D94">
        <w:rPr>
          <w:rFonts w:ascii="Times New Roman" w:eastAsia="Times New Roman" w:hAnsi="Times New Roman"/>
          <w:sz w:val="24"/>
          <w:lang w:val="mn-MN"/>
        </w:rPr>
        <w:t xml:space="preserve"> зэрэг улсад онц байдал зарласан үед парламентыг тараадаггүй. </w:t>
      </w:r>
    </w:p>
    <w:p w14:paraId="42186F1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Орчин үеийн төрийн байгуулал судлалын үүднээс үзвэл парламентыг бүрэн эрхийн хугацаанаас нь өмнө тараах, ээлжит бус сонгууль явуулах явдал нь хууль тогтоох болон гүйцэтгэх эрх мэдлийн хоорондох зөрчлийг шийдэх төдийгүй Засгийн газрыг байгуулах, огцруулах үйл явцтай нягт уялдаатай, улс төрийн хүчний тэнцвэрт байдалд нөлөөлж чадах улс төр, эрх зүйн хүчирхэг арга механизмын нэг болжээ. </w:t>
      </w:r>
    </w:p>
    <w:p w14:paraId="7AC25DE8" w14:textId="77777777" w:rsidR="00FD524F" w:rsidRPr="00443D94" w:rsidRDefault="00FD524F" w:rsidP="008049E2">
      <w:pPr>
        <w:spacing w:line="240" w:lineRule="auto"/>
        <w:jc w:val="both"/>
        <w:rPr>
          <w:rFonts w:ascii="Times New Roman" w:eastAsia="Times New Roman" w:hAnsi="Times New Roman"/>
          <w:sz w:val="24"/>
          <w:lang w:val="mn-MN"/>
        </w:rPr>
      </w:pPr>
    </w:p>
    <w:p w14:paraId="486B0C7F" w14:textId="204E6696"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b/>
          <w:sz w:val="24"/>
          <w:lang w:val="mn-MN"/>
        </w:rPr>
        <w:t>Парламентыг тараах тухай Үндсэн хуулийн зохицуулалт</w:t>
      </w:r>
      <w:r w:rsidRPr="00443D94">
        <w:rPr>
          <w:rFonts w:ascii="Times New Roman" w:eastAsia="Times New Roman" w:hAnsi="Times New Roman"/>
          <w:sz w:val="24"/>
          <w:lang w:val="mn-MN"/>
        </w:rPr>
        <w:t xml:space="preserve"> </w:t>
      </w:r>
    </w:p>
    <w:p w14:paraId="573D1B23" w14:textId="77777777" w:rsidR="00FD524F" w:rsidRPr="00443D94" w:rsidRDefault="00FD524F" w:rsidP="008049E2">
      <w:pPr>
        <w:spacing w:line="240" w:lineRule="auto"/>
        <w:jc w:val="both"/>
        <w:rPr>
          <w:rFonts w:ascii="Times New Roman" w:eastAsia="Times New Roman" w:hAnsi="Times New Roman"/>
          <w:sz w:val="24"/>
          <w:lang w:val="mn-MN"/>
        </w:rPr>
      </w:pPr>
    </w:p>
    <w:p w14:paraId="4DCB4EE9" w14:textId="0D99902F"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Парламентыг тараах шалгуур, улс төр, эрх зүйн зохицуулалт нь тухайн  улсын Үндсэн хуулиар зохицуулагдсан байдаг агаад дараах тохиолдлууд хамаарна. Үүнд (1) Парламент бүрэн эрхээ хэрэгжүүлж чадахгүйд хүрэх, (2) Парламент өөрөө тарах, (3) Парламентыг бүх нийтийн санал асуулгаар тараах, (4) Засгийн газрыг байгуулж чадахгүйд хүрсний улмаас парламент тарах, (5) Парламентын зүгээс гүйцэтгэх эрх мэдлийн бие даасан, хараат бус байдалд халдах, (6) Ерөнхий сайд, түүний кабинетэд итгэл үзүүлэх, эс үзүүлэх асуудлаар парламент тарах, (7) </w:t>
      </w:r>
      <w:r w:rsidRPr="00443D94">
        <w:rPr>
          <w:rFonts w:ascii="Times New Roman" w:hAnsi="Times New Roman"/>
          <w:sz w:val="24"/>
          <w:lang w:val="mn-MN"/>
        </w:rPr>
        <w:t>Ерөнхийлөгчийг парламентаас сонгож чадахгүй байгаа тохиолдолд парламентыг тараах зэрэг</w:t>
      </w:r>
      <w:r w:rsidRPr="00443D94">
        <w:rPr>
          <w:rFonts w:ascii="Times New Roman" w:eastAsia="Times New Roman" w:hAnsi="Times New Roman"/>
          <w:sz w:val="24"/>
          <w:lang w:val="mn-MN"/>
        </w:rPr>
        <w:t xml:space="preserve"> </w:t>
      </w:r>
      <w:r w:rsidRPr="00443D94">
        <w:rPr>
          <w:rFonts w:ascii="Times New Roman" w:hAnsi="Times New Roman"/>
          <w:sz w:val="24"/>
          <w:lang w:val="mn-MN"/>
        </w:rPr>
        <w:t>Үндсэн хуулийн зохицуулалтыг дурдаж болно.</w:t>
      </w:r>
      <w:r w:rsidRPr="00443D94">
        <w:rPr>
          <w:rFonts w:ascii="Times New Roman" w:eastAsia="Times New Roman" w:hAnsi="Times New Roman"/>
          <w:sz w:val="24"/>
          <w:lang w:val="mn-MN"/>
        </w:rPr>
        <w:t xml:space="preserve"> Эдгээрийг дараах хэсэгт авч үзье.</w:t>
      </w:r>
    </w:p>
    <w:p w14:paraId="0B9F1445" w14:textId="62EB9036" w:rsidR="00EE16ED" w:rsidRPr="00443D94" w:rsidRDefault="00FD524F"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А.</w:t>
      </w:r>
      <w:r w:rsidR="00EE16ED" w:rsidRPr="00443D94">
        <w:rPr>
          <w:rFonts w:ascii="Times New Roman" w:eastAsia="Times New Roman" w:hAnsi="Times New Roman"/>
          <w:b/>
          <w:sz w:val="24"/>
          <w:lang w:val="mn-MN"/>
        </w:rPr>
        <w:t>Парламент бүрэн эрхээ хэрэгжүүлж чадахгүйд хүрэх</w:t>
      </w:r>
      <w:r w:rsidR="00EE16ED" w:rsidRPr="00443D94">
        <w:rPr>
          <w:rFonts w:ascii="Times New Roman" w:eastAsia="Times New Roman" w:hAnsi="Times New Roman"/>
          <w:sz w:val="24"/>
          <w:lang w:val="mn-MN"/>
        </w:rPr>
        <w:t xml:space="preserve">. Парламент өөрийн бүрэн эрхэд хамаарах хууль тогтоох, улсын төсөв батлах, Засгийн газрын мөрийн хөтөлбөр, бүтэц, бүрэлдэхүүнийг батлахтай холбогдсон үндсэн чиг үүргээ хэрэгжүүлж чадахгүйд хүрвэл тардаг зохицуулалт байна. Өөрөөр хэлбэл парламентын үйл ажиллгааны үндсэн хэлбэр болсон чуулганы хуралдаан хуваарийн дагуу тасралтгүй үргэлжлэх боломжгүй бол парламентыг тарааж, шинэ хууль тогтоох байгууллагыг байгуулна. Тухайлбал БНЧУ-ын Үндсэн хуулийн 35-р зүйлд доод танхим буюу Депутатуудын хурлыг дээрх шалтгааны улмаас тараах нөхцлийг зааж өгчээ. Үүнд нэгдүгээрт, Депутатуудын танхимийн чуулган боломжит, ердийн хугацаанаас илүү тасарсан; </w:t>
      </w:r>
    </w:p>
    <w:p w14:paraId="70D94373"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Хоёрдугаарт, Депутатуудын танхимийн чуулган тасраагүй, хуралдаанд дуудсаар байсан боловч гурван сараас дээш хугацаанд ирц хүрээгүй бол Ерөнхийлөгч депутатуудын танхимыг тараана</w:t>
      </w:r>
      <w:r w:rsidRPr="00443D94">
        <w:rPr>
          <w:rStyle w:val="FootnoteReference"/>
          <w:rFonts w:ascii="Times New Roman" w:eastAsia="Times New Roman" w:hAnsi="Times New Roman"/>
          <w:sz w:val="24"/>
          <w:lang w:val="mn-MN"/>
        </w:rPr>
        <w:footnoteReference w:id="16"/>
      </w:r>
      <w:r w:rsidRPr="00443D94">
        <w:rPr>
          <w:rFonts w:ascii="Times New Roman" w:eastAsia="Times New Roman" w:hAnsi="Times New Roman"/>
          <w:sz w:val="24"/>
          <w:lang w:val="mn-MN"/>
        </w:rPr>
        <w:t xml:space="preserve"> хэмээн парламентыг өөрийн бүрэн эрхэд хамаарах чиг үүргээ хэрэгжүүлж чадаагүй нөхцөлд тараах үндэслэлийг зааж өгчээ. </w:t>
      </w:r>
    </w:p>
    <w:p w14:paraId="59FD8F4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Киргыз улсад парламент нь Засгийн газрын үйл ажиллагааны мөрийн хөтөлбөр, бүтэц, бүрэлдэхүүнийг баталж чадаагүй бол Ерөнхийлөгч парламентыг тараадаг агаад ийнхүү тарах асуудлыг парламент гуравны хоёрын шийдвэрээр баталдаг.</w:t>
      </w:r>
      <w:r w:rsidRPr="00443D94">
        <w:rPr>
          <w:rStyle w:val="FootnoteReference"/>
          <w:rFonts w:ascii="Times New Roman" w:eastAsia="Times New Roman" w:hAnsi="Times New Roman"/>
          <w:sz w:val="24"/>
          <w:lang w:val="mn-MN"/>
        </w:rPr>
        <w:footnoteReference w:id="17"/>
      </w:r>
      <w:r w:rsidRPr="00443D94">
        <w:rPr>
          <w:rFonts w:ascii="Times New Roman" w:eastAsia="Times New Roman" w:hAnsi="Times New Roman"/>
          <w:sz w:val="24"/>
          <w:lang w:val="mn-MN"/>
        </w:rPr>
        <w:t xml:space="preserve"> </w:t>
      </w:r>
    </w:p>
    <w:p w14:paraId="6F6F9F5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Эстони улсад төсвийн жил эхэлснээс хойш хоёр сарын дотор төсөв батлаагүй бол Ерөнхийлөгч парламентыг тараана.</w:t>
      </w:r>
      <w:r w:rsidRPr="00443D94">
        <w:rPr>
          <w:rStyle w:val="FootnoteReference"/>
          <w:rFonts w:ascii="Times New Roman" w:eastAsia="Times New Roman" w:hAnsi="Times New Roman"/>
          <w:sz w:val="24"/>
          <w:lang w:val="mn-MN"/>
        </w:rPr>
        <w:footnoteReference w:id="18"/>
      </w:r>
    </w:p>
    <w:p w14:paraId="2840BE0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Тэрчлэн парламентын бүгд найрамдах улсад парламент нь Засгийн газрыг байгуулж чадаагүй байгаа бол тухайн парламентыг бүрэн эрхээ хэрэгжүүлж чадахгүй байна гэж үзнэ. Тухайлбал Болгар улсад Засгийн газрыг бүрдүүлэх асуудал зөвшилцөлд хүрч чадаагүй бол Ерөнхийлөгч парламентыг тараадаг.</w:t>
      </w:r>
      <w:r w:rsidRPr="00443D94">
        <w:rPr>
          <w:rStyle w:val="FootnoteReference"/>
          <w:rFonts w:ascii="Times New Roman" w:eastAsia="Times New Roman" w:hAnsi="Times New Roman"/>
          <w:sz w:val="24"/>
          <w:lang w:val="mn-MN"/>
        </w:rPr>
        <w:footnoteReference w:id="19"/>
      </w:r>
    </w:p>
    <w:p w14:paraId="453171A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Б.Парламент өөрөө тарах.</w:t>
      </w:r>
      <w:r w:rsidRPr="00443D94">
        <w:rPr>
          <w:rFonts w:ascii="Times New Roman" w:eastAsia="Times New Roman" w:hAnsi="Times New Roman"/>
          <w:sz w:val="24"/>
          <w:lang w:val="mn-MN"/>
        </w:rPr>
        <w:t xml:space="preserve"> Улсуудын Үндсэн хуульд парламент өөрөө тарах тухай заалтууд байдаг боловч ийнхүү тарахдаа заавал төрийн тэргүүн, эсвэл парламентын дарга гэх мэт эрх бүхий субьекттэй зөвлөлдөх байдлаар тарах зохицуулалттай. Тухайлбал Шотландын Үндсэн хуульд парламентын гишүүдийн гуравны хоёрын олонхын саналаар аливаа шийдвэрлэж чадахгүй, гацсан асуудлыг эцэс болгох, эсвэл ард түмнээсээ шинэ мандат авах зорилгоор парламент өөрөө тарах тухай тогтоол гаргавал төрийн тэргүүн парламентыг тараах зохицуулалттай.</w:t>
      </w:r>
      <w:r w:rsidRPr="00443D94">
        <w:rPr>
          <w:rStyle w:val="FootnoteReference"/>
          <w:rFonts w:ascii="Times New Roman" w:eastAsia="Times New Roman" w:hAnsi="Times New Roman"/>
          <w:sz w:val="24"/>
          <w:lang w:val="mn-MN"/>
        </w:rPr>
        <w:footnoteReference w:id="20"/>
      </w:r>
      <w:r w:rsidRPr="00443D94">
        <w:rPr>
          <w:rFonts w:ascii="Times New Roman" w:eastAsia="Times New Roman" w:hAnsi="Times New Roman"/>
          <w:sz w:val="24"/>
          <w:lang w:val="mn-MN"/>
        </w:rPr>
        <w:t xml:space="preserve"> Ингээд гуч хоногийн дотор бүх нийтийн сонгуулийг явуулах тухай бичиг гаргана.</w:t>
      </w:r>
      <w:r w:rsidRPr="00443D94">
        <w:rPr>
          <w:rStyle w:val="FootnoteReference"/>
          <w:rFonts w:ascii="Times New Roman" w:eastAsia="Times New Roman" w:hAnsi="Times New Roman"/>
          <w:sz w:val="24"/>
          <w:lang w:val="mn-MN"/>
        </w:rPr>
        <w:footnoteReference w:id="21"/>
      </w:r>
      <w:r w:rsidRPr="00443D94">
        <w:rPr>
          <w:rFonts w:ascii="Times New Roman" w:eastAsia="Times New Roman" w:hAnsi="Times New Roman"/>
          <w:sz w:val="24"/>
          <w:lang w:val="mn-MN"/>
        </w:rPr>
        <w:t xml:space="preserve"> </w:t>
      </w:r>
    </w:p>
    <w:p w14:paraId="14E30F7B" w14:textId="77777777" w:rsidR="00EE16ED" w:rsidRPr="00443D94" w:rsidRDefault="00EE16ED" w:rsidP="008049E2">
      <w:pPr>
        <w:spacing w:line="240" w:lineRule="auto"/>
        <w:ind w:right="-23"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Нидерланд улсад парламент нь Үндсэн хуульд нэмэлт, өөрчлөлт оруулах тухай хуулийн төсөл батлаад, түүнийг хэрэгжүүлэхийн тулд парламент өөрөө тарж болдог. Улмаар шинээр сонгогдсон парламент уг нэмэлт, өөрчлөлтийг баталдаг.</w:t>
      </w:r>
      <w:r w:rsidRPr="00443D94">
        <w:rPr>
          <w:rStyle w:val="FootnoteReference"/>
          <w:rFonts w:ascii="Times New Roman" w:eastAsia="Times New Roman" w:hAnsi="Times New Roman"/>
          <w:sz w:val="24"/>
          <w:lang w:val="mn-MN"/>
        </w:rPr>
        <w:footnoteReference w:id="22"/>
      </w:r>
      <w:r w:rsidRPr="00443D94">
        <w:rPr>
          <w:rFonts w:ascii="Times New Roman" w:eastAsia="Times New Roman" w:hAnsi="Times New Roman"/>
          <w:sz w:val="24"/>
          <w:lang w:val="mn-MN"/>
        </w:rPr>
        <w:t xml:space="preserve"> Өөрөөр хэлбэл тухайн парламент өөрийн бүрэн эрхийн хугацаанд боловсруулсан Үндсэн хуульд нэмэлт, өөрчлөлт оруулах тухай хуулийн төслөө өөрөө батлахаас ёс суртахууны хувьд татгалзсаны улмаас тарж буй улс төрийн зохицуулалт юм. Энэ нь түр зуурын улс төрийн хүчин явцуу эрх ашигтаа хөтлөгдөн, сэтгэл хөөрлөөр Үндсэн хуульд нэмэлт, өөрчлөлт оруулж болзошгүй явдлаас хязгаарлахын тулд дараагийн парламентын бүрэлдэхүүнээр Үндсэн хуулийн нэмэлт, өөрчлөлтийг батлуулж байгаа ухаалаг зохицуулалт ажгуу.</w:t>
      </w:r>
    </w:p>
    <w:p w14:paraId="65D5B16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Харин Монгол Улсын Үндсэн хуулийн 22.2-д “Улсын Их Хурал бүрэн эрхээ хэрэгжүүлэх боломжгүй гэж нийт гишүүний гуравны хоёроос доошгүй нь үзэж, эсхүл мөнхүү шалтгаанаар Ерөнхийлөгч Улсын Хурлын даргатай зөвшилцөж санал болгосон бол Улсын Их Хурлын нийт гишүүний гуравны хоёрын саналаар өөрөө тарах шийдвэр гаргаж болно” хэмээн заажээ. Тус заалтыг судлаач Н.Лүндэндорж “Монгол Улсын Үндсэн хууль, шинжлэх ухааны тайлбар” бүтээлдээ тайлбарлахдаа: “Ард түмнээс шууд мандат авсан төрийн төлөөлөгчдийн дээд байгууллага тарахад тодорхой бөгөөд ноцтой шалтгаан байх ёстой. Яагаад гэвэл тарах эсэх нь тэдний санаа зоригоос шалтгаалах хувийн хэрэг байх ёсгүй. Харин сонгогчид тарахыг нь хүлээн зөвшөөрөхүйц шалтгаан байх учиртай. Энэ талаас харвал “Улсын Их Хурал өөрөө тарах шийдвэр гаргана” гэдэг нь сонгуулийн эрх зүйн хувьд ихээхэн эргэлзээтэй зохицуулалт юм. Мандатаа ард түмнээс авдаг атлаа мандатаасаа татгалзах болохоороо дангаараа шийддэг нь хариуцлагын горим зөрчсөн гэж үзэх үндэстэй”</w:t>
      </w:r>
      <w:r w:rsidRPr="00443D94">
        <w:rPr>
          <w:rStyle w:val="FootnoteReference"/>
          <w:rFonts w:ascii="Times New Roman" w:eastAsia="Times New Roman" w:hAnsi="Times New Roman"/>
          <w:sz w:val="24"/>
          <w:lang w:val="mn-MN"/>
        </w:rPr>
        <w:footnoteReference w:id="23"/>
      </w:r>
      <w:r w:rsidRPr="00443D94">
        <w:rPr>
          <w:rFonts w:ascii="Times New Roman" w:eastAsia="Times New Roman" w:hAnsi="Times New Roman"/>
          <w:sz w:val="24"/>
          <w:lang w:val="mn-MN"/>
        </w:rPr>
        <w:t xml:space="preserve"> </w:t>
      </w:r>
    </w:p>
    <w:p w14:paraId="5203C6C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Улсын Их Хурал Үндсэн хуулийн Хорин тавдугаар зүйлд заасан бүрэн эрхээ хэрэгжүүлэх боломжгүй болсон гэх үндэслэл, шалтгаанд юуны өмнө тэдгээр бүрэн эрхийг цаашид хэрэгжүүлэх ёс суртахууны эрхээ алдсан үйлдлүүдийг багтаан ойлгоно. Тухайлбал, улс үндэстний эрх ашигт харшилсан хууль, шийдвэр гаргаж, нийгэмд хор хохирол учруулсан, Үндсэн хууль болон Монгол Улсын нэгдэн орсон олон улсын гэрээний заалтыг удаа дараа, санаатайгаар зөрчсөн, Улсын Их Хурлын хэвийн, тогтвортой, байнгын ажиллагааг хангаж ажиллаж чадаагүй зэрэг шалтгаан эн тэргүүнд багтана. Гэвч Улсын Их Хурал  бүрэн эрхээ хэрэгжүүлэх боломжгүй гэж нийт гишүүдийн 51 ба түүнээс дээш гишүүн үзэх шалтгаан, нөхцөлийг судлаачид урьдчилан тодорхойлох боломжгүй гэж үзсэн байна. Энэ бас үндэслэлтэй. Хэн юуг юу гэж үзэх нь субъектив шинжтэй олон хүчин зүйл, шалтгаан, нөхцөл байх бололцоотой. Гэхдээ тэрхүү субъектив байдлыг Улсын Их Хурлын бүрэн эрхийн хүрээгээр хязгаарлан тайлбарлах бололцоотой</w:t>
      </w:r>
      <w:r w:rsidRPr="00443D94">
        <w:rPr>
          <w:rStyle w:val="FootnoteReference"/>
          <w:rFonts w:ascii="Times New Roman" w:eastAsia="Times New Roman" w:hAnsi="Times New Roman"/>
          <w:sz w:val="24"/>
          <w:lang w:val="mn-MN"/>
        </w:rPr>
        <w:footnoteReference w:id="24"/>
      </w:r>
      <w:r w:rsidRPr="00443D94">
        <w:rPr>
          <w:rFonts w:ascii="Times New Roman" w:eastAsia="Times New Roman" w:hAnsi="Times New Roman"/>
          <w:sz w:val="24"/>
          <w:lang w:val="mn-MN"/>
        </w:rPr>
        <w:t xml:space="preserve"> гэжээ..</w:t>
      </w:r>
    </w:p>
    <w:p w14:paraId="75EEDFD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Эндээс харвал Шотланд, Нидерланд улсуудын Үндсэн хуульд парламент өөрөө тарах шалтгааныг нэрлэн зохицуулсан бол Монгол Улсын Үндсэн хуульд парламент өөрөө тарах шалтгааныг тодорхой бусаар зохицуулсан байна.</w:t>
      </w:r>
    </w:p>
    <w:p w14:paraId="680E49D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 xml:space="preserve">B.Парламентыг бүх нийтийн санал асуулгаар тараах. </w:t>
      </w:r>
      <w:r w:rsidRPr="00443D94">
        <w:rPr>
          <w:rFonts w:ascii="Times New Roman" w:eastAsia="Times New Roman" w:hAnsi="Times New Roman"/>
          <w:sz w:val="24"/>
          <w:lang w:val="mn-MN"/>
        </w:rPr>
        <w:t xml:space="preserve">Парламентыг бүх нийтийн санал асуулгаар тараах нь ялангуяа нэг танхимтай парламент бүхий улсад улс төрийн системийн тогтворгүй байдал үүсэх эрсдэлийг ихэсгэхээс гадна ард түмнээс мандат авч байгуулагддаг хууль тогтоох байгууллагын хэвийн, тасралтгүй ажиллах байдалд сөргөөр нөлөөлөх талтай. Өөрөөр хэлбэл хэн нэгэн улс төрчийн популизм, эсвэл явцуу эрх ашигтаа хөтлөгдсөн улс төрийн нам, хүчний зүгээс парламентыг бүх нийтийн санал асуулгаар тараах зохицуулалтыг өөрт ашигтай байдлаар эргүүлэх эрсдэлтэй. Учир нь Үндсэн хуулийн нэмэлт, өөрчлөлт, парламентыг тараах зэрэг үндэсний эрх ашигтай холбогдсон томоохон асуудлыг бүх нийтийн санал асуулгаар шийдвэрлэх нь тухайн улс оронд эрсдэлтэй нөхцлийг үүсгэдэг. Учир нь ард түмэн дандаа зөв боддоггүй. Сэтгэл хөөрлөөр асуудалд ханддаг. Ийм ч учраас парламентын хоёр танхимтай улсуудад зөвхөн доод танхимыг тараах зохицуулалт байдаг. </w:t>
      </w:r>
    </w:p>
    <w:p w14:paraId="0733BE5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Нөгөө талаас парламентын хүлээн зөвшөөрөгдөх буюу легитим шинж унасан тохиолдолд парламентыг бүх нийтийн санал асуулгаар тараах Үндсэн хуулийн энэ зохицуулалт байж болох хувилбар. Зарим улсын Үндсэн хуульд энэ төрлийн зохицуулалт бий. Тухайлбал Латвийн Үндсэн хуулийн 14-р зүйлд сонгогчдын аравны нэгээс доошгүй нь парламентыг эргүүлэн татах буюу тараах шаардлагатай гэж үзвэл бүх нийтийн санал асуулга явуулах боломжтой. Улмаар парламентын сонгуульд оролцсон сонгогчдын олонх буюу нийт сонгогчдын гуравны хоёроос доошгүй нь Сеймийг тараахыг дэмжсэн бол парламент тарсанд тооцно.</w:t>
      </w:r>
      <w:r w:rsidRPr="00443D94">
        <w:rPr>
          <w:rStyle w:val="FootnoteReference"/>
          <w:rFonts w:ascii="Times New Roman" w:eastAsia="Times New Roman" w:hAnsi="Times New Roman"/>
          <w:sz w:val="24"/>
          <w:lang w:val="mn-MN"/>
        </w:rPr>
        <w:footnoteReference w:id="25"/>
      </w:r>
      <w:r w:rsidRPr="00443D94">
        <w:rPr>
          <w:rFonts w:ascii="Times New Roman" w:eastAsia="Times New Roman" w:hAnsi="Times New Roman"/>
          <w:sz w:val="24"/>
          <w:lang w:val="mn-MN"/>
        </w:rPr>
        <w:t xml:space="preserve"> Ийнхүү парламентыг тараах асуудлаар бүх нийтийн санал асуулга явуулах эрхийг парламентыг хуралдуулснаас хойш нэг жилийн дараа, парламентын бүрэн эрхийн хугацаа дуусахаас нэг жилийн өмнө буюу түүний бүрэн эрхийн сүүлийн зургаан сарын хугацаанд хэрэгжүүлж болохгүй.</w:t>
      </w:r>
      <w:r w:rsidRPr="00443D94">
        <w:rPr>
          <w:rStyle w:val="FootnoteReference"/>
          <w:rFonts w:ascii="Times New Roman" w:eastAsia="Times New Roman" w:hAnsi="Times New Roman"/>
          <w:sz w:val="24"/>
          <w:lang w:val="mn-MN"/>
        </w:rPr>
        <w:footnoteReference w:id="26"/>
      </w:r>
    </w:p>
    <w:p w14:paraId="671A8F8F"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48-р зүйлд Ерөнхийлөгч санал гаргасны дагуу парламентыг тараах асуудлаар бүх нийтийн санал асуулга явуулах зохицуулалт бий. Хэрэв бүх нийтийн санал асуулгад оролцогчдын талаас илүү хувь нь парламентыг тараахыг дэмжсэн бол хууль Сеймийг тарсанд тооцох агаад хоёр сарын дотор шинэ парламент бүрдүүлэх сонгуулийг зохион байгуулдаг үндсэн хуулийн зохицуулалттай.</w:t>
      </w:r>
      <w:r w:rsidRPr="00443D94">
        <w:rPr>
          <w:rStyle w:val="FootnoteReference"/>
          <w:rFonts w:ascii="Times New Roman" w:eastAsia="Times New Roman" w:hAnsi="Times New Roman"/>
          <w:sz w:val="24"/>
          <w:lang w:val="mn-MN"/>
        </w:rPr>
        <w:footnoteReference w:id="27"/>
      </w:r>
      <w:r w:rsidRPr="00443D94">
        <w:rPr>
          <w:rFonts w:ascii="Times New Roman" w:eastAsia="Times New Roman" w:hAnsi="Times New Roman"/>
          <w:sz w:val="24"/>
          <w:lang w:val="mn-MN"/>
        </w:rPr>
        <w:t xml:space="preserve"> Латвийн хувьд парламентын нэг танхимтай учраас парламентыг бүх нийтийн санал асуулгаар тараах Үндсэн хуулийн дээрх зохицуулалт нь улс төрийн тогтворгүй байдлыг үүсгэдэг.</w:t>
      </w:r>
    </w:p>
    <w:p w14:paraId="01024D60"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 xml:space="preserve">Г.Засгийн газрыг байгуулж чадахгүйд хүрсний улмаас парламентыг тараах. </w:t>
      </w:r>
      <w:r w:rsidRPr="00443D94">
        <w:rPr>
          <w:rFonts w:ascii="Times New Roman" w:eastAsia="Times New Roman" w:hAnsi="Times New Roman"/>
          <w:sz w:val="24"/>
          <w:lang w:val="mn-MN"/>
        </w:rPr>
        <w:t>Энэ бол парламентын бүгд найрамдах улс дахь парламентыг тараах тухай Үндсэн хуулийн сонгодог зохицуулалт. Вестминстерийн загвартай буюу хууль тогтоох, гүйцэтгэх эрх мэдлийг сонгуульд ялсан намд төвлөрүүлдэг, түүнчлэн олонхын сонгуулийн системээр парламентаа байгуулдаг улсуудад хүртэл Засгийн газрыг түргэн шуурхай байгуулахын тулд “Засгийн газрыг байгуулж чадахгүйд хүрсний улмаас парламентыг тараах” улс төр, эрх зүйн</w:t>
      </w:r>
      <w:r w:rsidRPr="00443D94">
        <w:rPr>
          <w:rFonts w:ascii="Times New Roman" w:eastAsia="Times New Roman" w:hAnsi="Times New Roman"/>
          <w:b/>
          <w:sz w:val="24"/>
          <w:lang w:val="mn-MN"/>
        </w:rPr>
        <w:t xml:space="preserve"> </w:t>
      </w:r>
      <w:r w:rsidRPr="00443D94">
        <w:rPr>
          <w:rFonts w:ascii="Times New Roman" w:eastAsia="Times New Roman" w:hAnsi="Times New Roman"/>
          <w:sz w:val="24"/>
          <w:lang w:val="mn-MN"/>
        </w:rPr>
        <w:t>зохицуулалтыг хэрэглэдэг. Тухайлбал Монгол Улсын Үндсэн хуулийн 22.3-т Ерөнхийлөгч Үндсэн хуулийн гучин есдүгээр зүйлийн 2 дахь хэсэгт</w:t>
      </w:r>
      <w:r w:rsidRPr="00443D94">
        <w:rPr>
          <w:rStyle w:val="FootnoteReference"/>
          <w:rFonts w:ascii="Times New Roman" w:eastAsia="Times New Roman" w:hAnsi="Times New Roman"/>
          <w:sz w:val="24"/>
          <w:lang w:val="mn-MN"/>
        </w:rPr>
        <w:footnoteReference w:id="28"/>
      </w:r>
      <w:r w:rsidRPr="00443D94">
        <w:rPr>
          <w:rFonts w:ascii="Times New Roman" w:eastAsia="Times New Roman" w:hAnsi="Times New Roman"/>
          <w:sz w:val="24"/>
          <w:lang w:val="mn-MN"/>
        </w:rPr>
        <w:t xml:space="preserve"> заасны дагуу Ерөнхий сайдыг томилох саналыг Улсын Их Хуралд анх оруулснаас хойш дөчин тав хоногийн дотор, эсхүл Үндсэн хуулийн дөчин гуравдугаар зүйлийн 1 дэх хэсэгт заасны дагуу Ерөнхий сайдыг огцруулснаас, түүнчлэн дөчин дөрөвдүгээр зүйлийн 2 дахь хэсэгт заасны дагуу Ерөнхий сайдыг огцорсонд тооцсоноос хойш гуч хоногийн дотор Улсын Их Хурал Ерөнхий сайдыг томилоогүй бол Ерөнхийлөгч Улсын Их Хурлыг тараах шийдвэр гаргана. </w:t>
      </w:r>
    </w:p>
    <w:p w14:paraId="505F08FB"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Харин аль ч нам эвсэл парламентад олонх болж чадаагүй тохиолдолд Засгийн газрыг байгуулах асуудал нь өргөн хүрээний зөвшилцлийг шаардсан нэн ярвигтай асуудал болж хувирдаг учраас Засгийн газрыг цаг алдалгүй, шуурхай байгуулах зорилгоор “Засгийн газрыг байгуулж чадахгүй бол парламентыг тараах” улс төр, эрх зүйн механизмыг Үндсэн хуулиар зохицуулсан байдаг. Жишээлбэл ХБНГУ-ын Үндсэн хуулийн 63-р зүйлд Бундестагийн шинэ сонгууль явагдсаны дараа 14 хоногийн дотор Холбооны Канцлерыг Бундестагаас туйлын олонхын саналаар сонгоно. Хэрэв дээрх хугацаанд нэр дэвшигчдийн хэн нь ч Бундестагийн гишүүдийн туйлын олонхын саналыг  авч чадахгүй санал хураалтыг ойрын хугацаанд дахин явуулж аль олонхын санал авсан нэр дэвшигчийг сонгогдсонд тооцно. Хэрэв нэр дэвшигч Бундестагт олонхийн санал аваагүй бол Холбооны улсын Ерөнхийлөгч Канцлерыг томилно, эсвэл Бундестагийг тараана.</w:t>
      </w:r>
      <w:r w:rsidRPr="00443D94">
        <w:rPr>
          <w:rStyle w:val="FootnoteReference"/>
          <w:rFonts w:ascii="Times New Roman" w:eastAsia="Times New Roman" w:hAnsi="Times New Roman"/>
          <w:sz w:val="24"/>
          <w:lang w:val="mn-MN"/>
        </w:rPr>
        <w:footnoteReference w:id="29"/>
      </w:r>
      <w:r w:rsidRPr="00443D94">
        <w:rPr>
          <w:rFonts w:ascii="Times New Roman" w:eastAsia="Times New Roman" w:hAnsi="Times New Roman"/>
          <w:sz w:val="24"/>
          <w:lang w:val="mn-MN"/>
        </w:rPr>
        <w:t xml:space="preserve"> </w:t>
      </w:r>
    </w:p>
    <w:p w14:paraId="68E86C5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бүрэн эрхээ хэрэгжүүлж байсан Засгийн газрыг огцруулсны дараа парламентаас шинэ Засгийн газар байгуулж чадаагүй бол гэх шалтгаанаар бас парламент тарах Үндсэн хуулийн зохицуулалт бас бий. Тухайлбал Унгар улсын Үндсэн хуульд Засгийн газрын бүрэн эрхийн хугацаа дууссан үед Ерөнхийлөгч Ерөнхий сайдад нэр дэвшигчийг анх танилцуулснаас хойш 40 хоногийн дотор парламент Ерөнхий  сайдыг сонгоогүй бол парламентыг тараах</w:t>
      </w:r>
      <w:r w:rsidRPr="00443D94">
        <w:rPr>
          <w:rStyle w:val="FootnoteReference"/>
          <w:rFonts w:ascii="Times New Roman" w:eastAsia="Times New Roman" w:hAnsi="Times New Roman"/>
          <w:sz w:val="24"/>
          <w:lang w:val="mn-MN"/>
        </w:rPr>
        <w:footnoteReference w:id="30"/>
      </w:r>
      <w:r w:rsidRPr="00443D94">
        <w:rPr>
          <w:rFonts w:ascii="Times New Roman" w:eastAsia="Times New Roman" w:hAnsi="Times New Roman"/>
          <w:sz w:val="24"/>
          <w:lang w:val="mn-MN"/>
        </w:rPr>
        <w:t xml:space="preserve"> зохицуулалттай.</w:t>
      </w:r>
    </w:p>
    <w:p w14:paraId="3791EF4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 xml:space="preserve">Д.Парламентын зүгээс гүйцэтгэх эрх мэдлийн бие даасан, хараат бус байдалд халдсаны улмаас парламент тарах. </w:t>
      </w:r>
      <w:r w:rsidRPr="00443D94">
        <w:rPr>
          <w:rFonts w:ascii="Times New Roman" w:eastAsia="Times New Roman" w:hAnsi="Times New Roman"/>
          <w:sz w:val="24"/>
          <w:lang w:val="mn-MN"/>
        </w:rPr>
        <w:t>Францын судлаач</w:t>
      </w:r>
      <w:r w:rsidRPr="00443D94">
        <w:rPr>
          <w:rFonts w:ascii="Times New Roman" w:eastAsia="Times New Roman" w:hAnsi="Times New Roman"/>
          <w:b/>
          <w:sz w:val="24"/>
          <w:lang w:val="mn-MN"/>
        </w:rPr>
        <w:t xml:space="preserve"> </w:t>
      </w:r>
      <w:r w:rsidRPr="00443D94">
        <w:rPr>
          <w:rFonts w:ascii="Times New Roman" w:eastAsia="Times New Roman" w:hAnsi="Times New Roman"/>
          <w:sz w:val="24"/>
          <w:lang w:val="mn-MN"/>
        </w:rPr>
        <w:t xml:space="preserve">М.Дюверже нарын өрнөдийн зарим онолчид “парламентыг тараах эрх нь парламент сайд нарыг огцруулах эрхийн зайлшгүй нөгөө тал нь” хэмээн үздэг. Эрх мэдэл хоорондын хянал-тэнцлийн үүднээс үзвэл, нэг эрх мэдлийн байгууллагыг огцруулах тухай асуудлыг нөгөө эрх мэдлийн байгууллага санаачилж байгаа бол өөрөө бас тарах хэмжээний эрсдэл хүлээдэг нь эрх мэдэл хоорондоо ижил тэнцүү эрсдэл хүлээж байгаа явдал юм. Энэ нь парламент, түүний дотор үүссэн улс төрийн тэнцвэр өөрчлөгдөх тутам Засгийн газар солигдож байдаг зохисгүй үзэгдлээс сэргийлдэг байна. </w:t>
      </w:r>
    </w:p>
    <w:p w14:paraId="74960355" w14:textId="77777777" w:rsidR="00EE16ED" w:rsidRPr="00443D94" w:rsidRDefault="00EE16ED" w:rsidP="008049E2">
      <w:pPr>
        <w:spacing w:line="240" w:lineRule="auto"/>
        <w:ind w:firstLine="720"/>
        <w:jc w:val="both"/>
        <w:rPr>
          <w:rFonts w:ascii="Times New Roman" w:eastAsia="Times New Roman" w:hAnsi="Times New Roman"/>
          <w:b/>
          <w:sz w:val="24"/>
          <w:lang w:val="mn-MN"/>
        </w:rPr>
      </w:pPr>
      <w:r w:rsidRPr="00443D94">
        <w:rPr>
          <w:rFonts w:ascii="Times New Roman" w:eastAsia="Times New Roman" w:hAnsi="Times New Roman"/>
          <w:sz w:val="24"/>
          <w:lang w:val="mn-MN"/>
        </w:rPr>
        <w:t>Парламентад улс төрийн эрсдэл үүсэх асуудлыг судлаач О.Машбат “Үндсэн хууль: улс төр, эрх зүй, хянал, тэнцэл”  бүтээлдээ Европийн олон орныг харьцуулан судалсны үндсэн дээр дүгнэн бичихдээ: Парламент Засгийн газрыг огцруулах бүрдээ өөрөө тарах эрсдэл хүлээх явдал европийн парламентын засагтай улсуудад, тухайлбал Бельги, Дани, ХБНГУ, Унгар, Чех, Эстон, Латви зэрэг улсад түгээмэл байна.</w:t>
      </w:r>
      <w:r w:rsidRPr="00443D94">
        <w:rPr>
          <w:rStyle w:val="FootnoteReference"/>
          <w:rFonts w:ascii="Times New Roman" w:eastAsia="Times New Roman" w:hAnsi="Times New Roman"/>
          <w:sz w:val="24"/>
          <w:lang w:val="mn-MN"/>
        </w:rPr>
        <w:footnoteReference w:id="31"/>
      </w:r>
      <w:r w:rsidRPr="00443D94">
        <w:rPr>
          <w:rFonts w:ascii="Times New Roman" w:eastAsia="Times New Roman" w:hAnsi="Times New Roman"/>
          <w:sz w:val="24"/>
          <w:lang w:val="mn-MN"/>
        </w:rPr>
        <w:t xml:space="preserve"> </w:t>
      </w:r>
    </w:p>
    <w:p w14:paraId="3A0AD415"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Засгийн газрыг огцруулах тухай журам ч гүйцэтгэх эрх мэдлийн тогтвортой байдлыг хангахад чиглэсэн байдаг. Улс төрийн тогтолцоо ч Үндсэн хуулийн зохицуулалтын хүрээнээс гарахгүй бөгөөд эрх мэдлийн хуваарийг дэмжсэн байх ёстой юм. Европийн парламентын засагтай дийлэнх орон намын систем, сонгуулийн системийг үндсэн хуульдаа шууд зааж зохицуулсан байх нь элбэг. Олон намын тогтолцоо , сонгуулийн хувь тэнцүүлсэн систем нь  Үндсэн хууль дахь парламент-засгийн газрын харилцааг зохицуулсан хянал-тэнцлийн зохицуулалтын хамт эрх мэдлийн хуваарийн улс төрийн баталгаа болдог байна” хэмээн бичжээ. О.Машбат нарын судлаачид төрийн эрх мэдлийн хяналт тэнцлийг, тэр дундаа хууль тогтоох, гүйцэтгэх эрх мэдлийг тэнцвэржүүлэх  гол явдал бол парламентыг хоёр танхимд хуваахаас илүүтэй, дээр өгүүлсэнчлэн парламентад улс төрийн эрсдэл үүсгэх замаар зохицуулах нь илүү өгөөжтэй гэсэн байр суурийг илэрхийлсэн байна.</w:t>
      </w:r>
    </w:p>
    <w:p w14:paraId="4C76FB60"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b/>
          <w:sz w:val="24"/>
          <w:lang w:val="mn-MN"/>
        </w:rPr>
        <w:t xml:space="preserve">Е.Ерөнхий сайд, түүний кабинетэд итгэл үзүүлэх, эс үзүүлэх асуудлаар парламент тарах. </w:t>
      </w:r>
      <w:r w:rsidRPr="00443D94">
        <w:rPr>
          <w:rFonts w:ascii="Times New Roman" w:eastAsia="Times New Roman" w:hAnsi="Times New Roman"/>
          <w:sz w:val="24"/>
          <w:lang w:val="mn-MN"/>
        </w:rPr>
        <w:t>Тус зохицуулалт нь өмнө өгүүлсэн парламентын зүгээс гүйцэтгэх эрх мэдлийн бие даасан, хараат бус байдалд халдсаны улмаас парламент тарах зохицуулалтаас зарчмын ялгаатай.</w:t>
      </w:r>
      <w:r w:rsidRPr="00443D94">
        <w:rPr>
          <w:rFonts w:ascii="Times New Roman" w:eastAsia="Times New Roman" w:hAnsi="Times New Roman"/>
          <w:b/>
          <w:sz w:val="24"/>
          <w:lang w:val="mn-MN"/>
        </w:rPr>
        <w:t xml:space="preserve"> </w:t>
      </w:r>
      <w:r w:rsidRPr="00443D94">
        <w:rPr>
          <w:rFonts w:ascii="Times New Roman" w:eastAsia="Times New Roman" w:hAnsi="Times New Roman"/>
          <w:sz w:val="24"/>
          <w:lang w:val="mn-MN"/>
        </w:rPr>
        <w:t>Тодруулбал</w:t>
      </w:r>
      <w:r w:rsidRPr="00443D94">
        <w:rPr>
          <w:rFonts w:ascii="Times New Roman" w:eastAsia="Times New Roman" w:hAnsi="Times New Roman"/>
          <w:b/>
          <w:sz w:val="24"/>
          <w:lang w:val="mn-MN"/>
        </w:rPr>
        <w:t xml:space="preserve"> </w:t>
      </w:r>
      <w:r w:rsidRPr="00443D94">
        <w:rPr>
          <w:rFonts w:ascii="Times New Roman" w:eastAsia="Times New Roman" w:hAnsi="Times New Roman"/>
          <w:sz w:val="24"/>
          <w:lang w:val="mn-MN"/>
        </w:rPr>
        <w:t>парламентын бүгд найрамдах улс дахь парламент, Засгийн газар хоёр хамтын хариуцлага хүлээх зарчмаас үүдэлтэй буюу Ерөнхий сайд өөртөө болон өөрийн кабинетэд бодлогын тодорхой асуудлаар итгэл үзүүлэх эсэхийг өөрийг нь томилсон парламентаас асуух тухай явдал. Түүнчлэн Парламентын бүгд найрамдах улсад Ерөнхий сайд нь парламентаас томилогддог, нэг ёсондоо Засгийн газар нь парламентын бүтээл учир парламентынхаа итгэлийг хүлээж байх нь түүний оршин ажиллах зайлшгүй үндэс</w:t>
      </w:r>
      <w:r w:rsidRPr="00443D94">
        <w:rPr>
          <w:rStyle w:val="FootnoteReference"/>
          <w:rFonts w:ascii="Times New Roman" w:eastAsia="Times New Roman" w:hAnsi="Times New Roman"/>
          <w:sz w:val="24"/>
          <w:lang w:val="mn-MN"/>
        </w:rPr>
        <w:footnoteReference w:id="32"/>
      </w:r>
      <w:r w:rsidRPr="00443D94">
        <w:rPr>
          <w:rFonts w:ascii="Times New Roman" w:eastAsia="Times New Roman" w:hAnsi="Times New Roman"/>
          <w:sz w:val="24"/>
          <w:lang w:val="mn-MN"/>
        </w:rPr>
        <w:t xml:space="preserve"> юм. Цаашилбал парламентын бүгд найрамдах улсад сонгуульд ялсан нам парламентын олонхыг бүрдүүлж, Засгийн газрыг байгуулдаг учир Засгийн газар, парламентын хооронд бодлогын нийцэл, зохицол заавал байх ёстой. Хэрэв энэ зарчим алдагдвал парламентаас Засгийн газрыг огцруулах, эсвэл парламентыг тараах нь зүй ёсны хэрэг болдог. Тухайлбал Их Британи улсад парламент Засгийн газарт итгэл үзүүлэхгүй байх болон буруушаах тогтоол гаргасан үед Засгийн газар огцордог.</w:t>
      </w:r>
      <w:r w:rsidRPr="00443D94">
        <w:rPr>
          <w:rStyle w:val="FootnoteReference"/>
          <w:rFonts w:ascii="Times New Roman" w:eastAsia="Times New Roman" w:hAnsi="Times New Roman"/>
          <w:sz w:val="24"/>
          <w:lang w:val="mn-MN"/>
        </w:rPr>
        <w:footnoteReference w:id="33"/>
      </w:r>
      <w:r w:rsidRPr="00443D94">
        <w:rPr>
          <w:rFonts w:ascii="Times New Roman" w:eastAsia="Times New Roman" w:hAnsi="Times New Roman"/>
          <w:sz w:val="24"/>
          <w:lang w:val="mn-MN"/>
        </w:rPr>
        <w:t xml:space="preserve"> Эсрэгээрээ Нийтийн танхимыг Ерөнхий сайдын санал болгосноор хаан хугацаанаас нь өмнө тарааж болдог. Гэхдээ энэ механизм Засгийн газраас төлөөлөгчдийн дээд байгууллагыг тараахаар заналхийлэх, эсвэл парламент Засгийн газрыг шахаанд оруулах арга хэрэгсэл болох ёсгүй. Ерөнхий сайдын парламентад оруулж буй бодлогын асуудал нь янз үзсэн төдий асуудал байх ёсгүй бөгөөд үнэхээр улс орны тулгамдсан асуудлыг шийдэхүйц асуудал байх ёстой. Энэ нь тухайн Ерөнхий сайдын, түүний намын цаашдын улс төрийн үйл ажиллагааны хувь заяатай холбоотой, олон нийтийн хараа хяналтад байх тул парламентад оруулж буй асуудал ор нэрийн байх нь тухайн Ерөнхий сайд, түүний намын цаашдын хувь заяанд халтай. Энэ бол Ерөнхий сайдын парламентад оруулж буй итгэл үзүүлэх эсэх асуудалд хариуцлагатай хандах далд хөшүүрэг мөн.</w:t>
      </w:r>
      <w:r w:rsidRPr="00443D94">
        <w:rPr>
          <w:rStyle w:val="FootnoteReference"/>
          <w:rFonts w:ascii="Times New Roman" w:eastAsia="Times New Roman" w:hAnsi="Times New Roman"/>
          <w:sz w:val="24"/>
          <w:lang w:val="mn-MN"/>
        </w:rPr>
        <w:footnoteReference w:id="34"/>
      </w:r>
      <w:r w:rsidRPr="00443D94">
        <w:rPr>
          <w:rFonts w:ascii="Times New Roman" w:eastAsia="Times New Roman" w:hAnsi="Times New Roman"/>
          <w:sz w:val="24"/>
          <w:lang w:val="mn-MN"/>
        </w:rPr>
        <w:t xml:space="preserve"> Итгэл хүлээлгэж буй эсэхийг нэгдүгээрт, парламент, Засгийн газар хоёрын хооронд бодлогын зөрөө гарах үед; </w:t>
      </w:r>
    </w:p>
    <w:p w14:paraId="0B96723C"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Хоёрдугаарт, Ерөнхий сайд төсөв болон бодлогын томоохон асуудлаар зоримог алхам хийхэд парламентын дэмжлэгт эргэлзэж байгаа нөхцөлд тавидаг. Жишээлбэл манай Засгийн газар ийм бодлогын асуудал хийхээр төлөвлөж байна дэмжих үү, дэмжихгүй бол би багаараа огцоръё гэж хандаж буй хэрэг мөн. Энэ нь парламентын улсад хууль тогтоох болон гүйцэтгэх эрх мэдлийн хоорондын хяналт, тэнцвэрийг буй болгодог зүй ёсны механизм юм. </w:t>
      </w:r>
    </w:p>
    <w:p w14:paraId="25A931E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Жишээлбэл Японы Төлөөлөгчдийн танхим Ерөнхий сайд болон түүний явуулж байгаа улс төрийн бодлогоос татгалзан Засгийн газарт итгэл үл үзүүлэх тогтоолыг олонх гишүүн дэмжсэн тохиолдолд Засгийн газар бүрэн бүрэлдэхүүнээрээ огцорч, парламентаас шинэ Ерөнхий сайдыг сонгон томилох ёстой. Гэвч зарим тохиолдолд Ерөнхий сайд огцролгүй хэвээр үлдэж Төлөөлөгчдийн танхимыг тараан бүх нийтийн сонгууль зарлан явуулсны дараа Сайд нарын кабинетийг огцруулан шинэ парламентаас шинэ Ерөнхий сайдыг сонгож болно. Түүнчлэн Төлөөлөгчдийн танхим Засгийн газарт итгэл үзүүлэх тогтоолыг батлахаас татгалзсан бол Засгийн газар 10 хоногийн дотор тус танхимыг тараагаагүй нөхцөлд  өөрсдөө огцрох ёстой.</w:t>
      </w:r>
      <w:r w:rsidRPr="00443D94">
        <w:rPr>
          <w:rStyle w:val="FootnoteReference"/>
          <w:rFonts w:ascii="Times New Roman" w:eastAsia="Times New Roman" w:hAnsi="Times New Roman"/>
          <w:sz w:val="24"/>
          <w:lang w:val="mn-MN"/>
        </w:rPr>
        <w:footnoteReference w:id="35"/>
      </w:r>
    </w:p>
    <w:p w14:paraId="66EC370B"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Харин ХБНГУ-д Ерөнхий сайдад парламент итгэл үзүүлэхгүй гэвэл дараагийн шинэ Ерөнхий сайдын нэр бэлэн байх ёстой. Хэрэв бэлэн биш нөхцөлд Ерөнхий сайдад итгэл үзүүлэхгүй гэвэл Ерөнхийлөгч парламентыг тараах эрсдэл бүхий конструктив зарчим үйлчилдэг тул уул асуудалд парламент их болгоомжтой хандах шаардлага тулгардаг. Өөрөөр хэлбэл, тарах эрсдэлд орох уу, Ерөнхий сайдын оруулж ирсэн бодлогыг дэмжих үү гэсэн сонголтод парламентыг оруулдаг арга юм.</w:t>
      </w:r>
      <w:r w:rsidRPr="00443D94">
        <w:rPr>
          <w:rStyle w:val="FootnoteReference"/>
          <w:rFonts w:ascii="Times New Roman" w:eastAsia="Times New Roman" w:hAnsi="Times New Roman"/>
          <w:sz w:val="24"/>
          <w:lang w:val="mn-MN"/>
        </w:rPr>
        <w:footnoteReference w:id="36"/>
      </w:r>
      <w:r w:rsidRPr="00443D94">
        <w:rPr>
          <w:rFonts w:ascii="Times New Roman" w:eastAsia="Times New Roman" w:hAnsi="Times New Roman"/>
          <w:sz w:val="24"/>
          <w:lang w:val="mn-MN"/>
        </w:rPr>
        <w:t xml:space="preserve"> Тодруулбал ХБНГУ-ын Үндсэн хуулийн 67-р зүйлд Бундестаг Холбооны улсын Канцлерт итгэл үзүүлэхгүй буйгаа зөвхөн нийт гишүүдийнхээ олонхын саналаар түүний дараагийн залгамжлагчийг сонгож, Холбооны улсын Ерөнхийлөгчөөс Холбооны улсын хуучин Канцлерыг чөлөөлж өгөхийг хүсэх байдлаар илэрхийлнэ. Холбооны улсын Ерөнхийлөгч уг хүсэлтийг биелүүлэх, шинээр сонгогдсон Холбооны улсын Канцлерыг томилох үүрэгтэй.</w:t>
      </w:r>
      <w:r w:rsidRPr="00443D94">
        <w:rPr>
          <w:rStyle w:val="FootnoteReference"/>
          <w:rFonts w:ascii="Times New Roman" w:eastAsia="Times New Roman" w:hAnsi="Times New Roman"/>
          <w:sz w:val="24"/>
          <w:lang w:val="mn-MN"/>
        </w:rPr>
        <w:footnoteReference w:id="37"/>
      </w:r>
      <w:r w:rsidRPr="00443D94">
        <w:rPr>
          <w:rFonts w:ascii="Times New Roman" w:eastAsia="Times New Roman" w:hAnsi="Times New Roman"/>
          <w:sz w:val="24"/>
          <w:lang w:val="mn-MN"/>
        </w:rPr>
        <w:t xml:space="preserve"> </w:t>
      </w:r>
    </w:p>
    <w:p w14:paraId="0F088FD1"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68-р зүйлд Холбооны улсын Канцлерын итгэл үзүүлж буй эсэхийг илэрхийлж өгөхийг хүссэн өргөдлийг Бундестагын нийт гишүүдийн олонх дэмжээгүй бол Холбооны улсын Канцлерын санал болгосноор Холбооны улсын Ерөнхийлөгч хорин нэг хоногийн дотор Бундестагыг тарааж болно. Бундестаг энэ хугацаанд гишүүдийнхээ олонхын саналаар шинэ Холбооны улсын Канцлерыг сонгосон бол Холбооны улсын Ерөнхийлөгчийн парламентыг тараах эрх хүчингүй болно.</w:t>
      </w:r>
      <w:r w:rsidRPr="00443D94">
        <w:rPr>
          <w:rStyle w:val="FootnoteReference"/>
          <w:rFonts w:ascii="Times New Roman" w:eastAsia="Times New Roman" w:hAnsi="Times New Roman"/>
          <w:sz w:val="24"/>
          <w:lang w:val="mn-MN"/>
        </w:rPr>
        <w:footnoteReference w:id="38"/>
      </w:r>
      <w:r w:rsidRPr="00443D94">
        <w:rPr>
          <w:rFonts w:ascii="Times New Roman" w:eastAsia="Times New Roman" w:hAnsi="Times New Roman"/>
          <w:sz w:val="24"/>
          <w:lang w:val="mn-MN"/>
        </w:rPr>
        <w:t xml:space="preserve"> Сонирхуулахад 1972, 1982, 2005 онд тус тус Бундестаг хугацаанаасаа өмнө тарж, шинэ сонгууль явагдаж байжээ. Харин парламентын дээд танхим болох Бундесрат хугацаанаасаа өмнө тарах ёсгүй.</w:t>
      </w:r>
    </w:p>
    <w:p w14:paraId="5682113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eastAsia="Times New Roman" w:hAnsi="Times New Roman"/>
          <w:b/>
          <w:sz w:val="24"/>
          <w:lang w:val="mn-MN"/>
        </w:rPr>
        <w:t>Ж.</w:t>
      </w:r>
      <w:r w:rsidRPr="00443D94">
        <w:rPr>
          <w:rFonts w:ascii="Times New Roman" w:hAnsi="Times New Roman"/>
          <w:b/>
          <w:sz w:val="24"/>
          <w:lang w:val="mn-MN"/>
        </w:rPr>
        <w:t>Ерөнхийлөгчийг парламентаас сонгож чадахгүй байгаа тохиолдолд парламентыг тараах.</w:t>
      </w:r>
      <w:r w:rsidRPr="00443D94">
        <w:rPr>
          <w:rFonts w:ascii="Times New Roman" w:hAnsi="Times New Roman"/>
          <w:sz w:val="24"/>
          <w:lang w:val="mn-MN"/>
        </w:rPr>
        <w:t xml:space="preserve"> Парламентын бүгд найрамдах зарим улсад Ерөнхийлөгчийг парламентаас сонгодог. Энэ тохиолдолд Ерөнхийлөгчид нэр дэвшигчийг сонгогдсонд тооцох парламентын олонхын босго дахин дахин санал хураалт явуулахад хүрэхгүй байгаа тохиолдолд парламентыг тараах улс төр, эрх зүйн зохицуулалт бас байдаг. Өөрөөр хэлбэл Ерөнхийлөгчийг сонгох үүрэгтэй парламент нь эс үйлдэл үзүүлж Ерөнхийлөгчийг сонгож чадахгүй байгаа тохиолдолд парламентыг тараадаг. Тухайлбал Грекийн Үндсэн хуулийн 32.3-т “парламентын </w:t>
      </w:r>
      <w:r w:rsidRPr="00443D94">
        <w:rPr>
          <w:rFonts w:ascii="Times New Roman" w:eastAsia="Times New Roman" w:hAnsi="Times New Roman"/>
          <w:sz w:val="24"/>
          <w:lang w:val="mn-MN"/>
        </w:rPr>
        <w:t>нийт гишүүний гуравны хоёрын санал авсан нэр дэвшигч бүгд найрамдах Грек улсын Ерөнхийлөгчөөр сонгогдоно.</w:t>
      </w:r>
      <w:r w:rsidRPr="00443D94">
        <w:rPr>
          <w:rFonts w:ascii="Times New Roman" w:hAnsi="Times New Roman"/>
          <w:sz w:val="24"/>
          <w:lang w:val="mn-MN"/>
        </w:rPr>
        <w:t xml:space="preserve"> </w:t>
      </w:r>
      <w:r w:rsidRPr="00443D94">
        <w:rPr>
          <w:rFonts w:ascii="Times New Roman" w:eastAsia="Times New Roman" w:hAnsi="Times New Roman"/>
          <w:sz w:val="24"/>
          <w:lang w:val="mn-MN"/>
        </w:rPr>
        <w:t>Хэрэв дээрх олонхын санал авч чадаагүй бол тав хоногийн дараа дахин санал хураалт явуулна.</w:t>
      </w:r>
      <w:r w:rsidRPr="00443D94">
        <w:rPr>
          <w:rFonts w:ascii="Times New Roman" w:hAnsi="Times New Roman"/>
          <w:sz w:val="24"/>
          <w:lang w:val="mn-MN"/>
        </w:rPr>
        <w:t xml:space="preserve"> </w:t>
      </w:r>
      <w:r w:rsidRPr="00443D94">
        <w:rPr>
          <w:rFonts w:ascii="Times New Roman" w:eastAsia="Times New Roman" w:hAnsi="Times New Roman"/>
          <w:sz w:val="24"/>
          <w:lang w:val="mn-MN"/>
        </w:rPr>
        <w:t>Хоёр дахь санал хураалтад шаардлагатай олонхийн санал авч чадаагүй тохиолдолд дахин санал хураалтыг дахин явуулна</w:t>
      </w:r>
      <w:r w:rsidRPr="00443D94">
        <w:rPr>
          <w:rFonts w:ascii="Times New Roman" w:hAnsi="Times New Roman"/>
          <w:sz w:val="24"/>
          <w:lang w:val="mn-MN"/>
        </w:rPr>
        <w:t xml:space="preserve">. </w:t>
      </w:r>
      <w:r w:rsidRPr="00443D94">
        <w:rPr>
          <w:rFonts w:ascii="Times New Roman" w:eastAsia="Times New Roman" w:hAnsi="Times New Roman"/>
          <w:sz w:val="24"/>
          <w:lang w:val="mn-MN"/>
        </w:rPr>
        <w:t>Тав хоногийн дараа нийт гишүүдийн тавны гурвын санал авсан хүн</w:t>
      </w:r>
      <w:r w:rsidRPr="00443D94">
        <w:rPr>
          <w:rFonts w:ascii="Times New Roman" w:hAnsi="Times New Roman"/>
          <w:sz w:val="24"/>
          <w:lang w:val="mn-MN"/>
        </w:rPr>
        <w:t xml:space="preserve"> </w:t>
      </w:r>
      <w:r w:rsidRPr="00443D94">
        <w:rPr>
          <w:rFonts w:ascii="Times New Roman" w:eastAsia="Times New Roman" w:hAnsi="Times New Roman"/>
          <w:sz w:val="24"/>
          <w:lang w:val="mn-MN"/>
        </w:rPr>
        <w:t>бүгд найрамдах улсын Ерөнхийлөгчөөр парламент сонгогдоно.”</w:t>
      </w:r>
      <w:r w:rsidRPr="00443D94">
        <w:rPr>
          <w:rStyle w:val="FootnoteReference"/>
          <w:rFonts w:ascii="Times New Roman" w:eastAsia="Times New Roman" w:hAnsi="Times New Roman"/>
          <w:sz w:val="24"/>
          <w:lang w:val="mn-MN"/>
        </w:rPr>
        <w:footnoteReference w:id="39"/>
      </w:r>
    </w:p>
    <w:p w14:paraId="56DACE48"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33.4-р зүйлд “Гурав дахь санал хураалтад дурдсан олонхын санал авч чадаагүй бол парламентыг тараана” хэмээн заажээ.”</w:t>
      </w:r>
      <w:r w:rsidRPr="00443D94">
        <w:rPr>
          <w:rStyle w:val="FootnoteReference"/>
          <w:rFonts w:ascii="Times New Roman" w:eastAsia="Times New Roman" w:hAnsi="Times New Roman"/>
          <w:sz w:val="24"/>
          <w:lang w:val="mn-MN"/>
        </w:rPr>
        <w:footnoteReference w:id="40"/>
      </w:r>
    </w:p>
    <w:p w14:paraId="23288A8E" w14:textId="77777777" w:rsidR="00EE16ED" w:rsidRPr="00443D94" w:rsidRDefault="00EE16ED" w:rsidP="008049E2">
      <w:pPr>
        <w:spacing w:line="240" w:lineRule="auto"/>
        <w:ind w:firstLine="720"/>
        <w:jc w:val="both"/>
        <w:rPr>
          <w:rFonts w:ascii="Times New Roman" w:eastAsia="Times New Roman" w:hAnsi="Times New Roman"/>
          <w:sz w:val="24"/>
          <w:lang w:val="mn-MN"/>
        </w:rPr>
      </w:pPr>
    </w:p>
    <w:p w14:paraId="655840BA" w14:textId="13B540CE"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Монгол улсын Үндсэн хуульд тусгагдсан Улсын Их Хурлыг тараах эрх зүйн зохицуулалт</w:t>
      </w:r>
    </w:p>
    <w:p w14:paraId="7D7B34F7" w14:textId="77777777" w:rsidR="00FD524F" w:rsidRPr="00443D94" w:rsidRDefault="00FD524F" w:rsidP="008049E2">
      <w:pPr>
        <w:spacing w:line="240" w:lineRule="auto"/>
        <w:jc w:val="both"/>
        <w:rPr>
          <w:rFonts w:ascii="Times New Roman" w:eastAsia="Times New Roman" w:hAnsi="Times New Roman"/>
          <w:sz w:val="24"/>
          <w:lang w:val="mn-MN"/>
        </w:rPr>
      </w:pPr>
    </w:p>
    <w:p w14:paraId="05B802EE" w14:textId="2B83E1D3"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Монгол Улсын Үндсэн хуульд парламент тарах асуудалтай холбоотой дөрвөн төрлийн эрх зүйн зохицуулалт байдаг. Эдгээрийг тоочвол Үндсэн хуулийн хорин хоёрдугаар зүйлийн 2-д Улсын Их Хурал бүрэн эрхээ хэрэгжүүлэх боломжгүй гэж нийт гишүүний гуравны хоёроос доошгүй нь үзэж, эсхүл мөнхүү шалтгаанаар Ерөнхийлөгч Улсын Хурлын даргатай зөвшилцөж санал болгосон бол Улсын Их Хурлын нийт гишүүний гуравны хоёрын саналаар өөрөө тарах шийдвэр гаргаж болно.</w:t>
      </w:r>
      <w:r w:rsidRPr="00443D94">
        <w:rPr>
          <w:rStyle w:val="FootnoteReference"/>
          <w:rFonts w:ascii="Times New Roman" w:eastAsia="Times New Roman" w:hAnsi="Times New Roman"/>
          <w:sz w:val="24"/>
          <w:lang w:val="mn-MN"/>
        </w:rPr>
        <w:footnoteReference w:id="41"/>
      </w:r>
    </w:p>
    <w:p w14:paraId="7F551263"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Үндсэн хуулийн хорин хоёрдугаар  зүйлийн 3-д Ерөнхийлөгч Улсын Их Хурлыг тараах гурван үндэслэл буюу (1) Гучин есдүгээр зүйлийн 2 дахь хэсэгт заасан</w:t>
      </w:r>
      <w:r w:rsidRPr="00443D94">
        <w:rPr>
          <w:rStyle w:val="FootnoteReference"/>
          <w:rFonts w:ascii="Times New Roman" w:eastAsia="Times New Roman" w:hAnsi="Times New Roman"/>
          <w:sz w:val="24"/>
          <w:lang w:val="mn-MN"/>
        </w:rPr>
        <w:footnoteReference w:id="42"/>
      </w:r>
      <w:r w:rsidRPr="00443D94">
        <w:rPr>
          <w:rFonts w:ascii="Times New Roman" w:eastAsia="Times New Roman" w:hAnsi="Times New Roman"/>
          <w:sz w:val="24"/>
          <w:lang w:val="mn-MN"/>
        </w:rPr>
        <w:t xml:space="preserve"> Ерөнхий сайдыг томилох саналыг, Ерөнхийлөгч Улсын Их Хуралд оруулснаас хойш дөчин тав хонох, (2) Дөчин гуравдугаар зүйлийн 1-д заасны дагуу</w:t>
      </w:r>
      <w:r w:rsidRPr="00443D94">
        <w:rPr>
          <w:rStyle w:val="FootnoteReference"/>
          <w:rFonts w:ascii="Times New Roman" w:eastAsia="Times New Roman" w:hAnsi="Times New Roman"/>
          <w:sz w:val="24"/>
          <w:lang w:val="mn-MN"/>
        </w:rPr>
        <w:footnoteReference w:id="43"/>
      </w:r>
      <w:r w:rsidRPr="00443D94">
        <w:rPr>
          <w:rFonts w:ascii="Times New Roman" w:eastAsia="Times New Roman" w:hAnsi="Times New Roman"/>
          <w:sz w:val="24"/>
          <w:lang w:val="mn-MN"/>
        </w:rPr>
        <w:t xml:space="preserve"> Ерөнхий сайдыг огцруулснаас  хойш томилолгүй гуч хонох, (3) Дөчин дөрөвдүгээр зүйлийн 1</w:t>
      </w:r>
      <w:r w:rsidRPr="00443D94">
        <w:rPr>
          <w:rStyle w:val="FootnoteReference"/>
          <w:rFonts w:ascii="Times New Roman" w:eastAsia="Times New Roman" w:hAnsi="Times New Roman"/>
          <w:sz w:val="24"/>
          <w:lang w:val="mn-MN"/>
        </w:rPr>
        <w:footnoteReference w:id="44"/>
      </w:r>
      <w:r w:rsidRPr="00443D94">
        <w:rPr>
          <w:rFonts w:ascii="Times New Roman" w:eastAsia="Times New Roman" w:hAnsi="Times New Roman"/>
          <w:sz w:val="24"/>
          <w:lang w:val="mn-MN"/>
        </w:rPr>
        <w:t>, 2</w:t>
      </w:r>
      <w:r w:rsidRPr="00443D94">
        <w:rPr>
          <w:rStyle w:val="FootnoteReference"/>
          <w:rFonts w:ascii="Times New Roman" w:eastAsia="Times New Roman" w:hAnsi="Times New Roman"/>
          <w:sz w:val="24"/>
          <w:lang w:val="mn-MN"/>
        </w:rPr>
        <w:footnoteReference w:id="45"/>
      </w:r>
      <w:r w:rsidRPr="00443D94">
        <w:rPr>
          <w:rFonts w:ascii="Times New Roman" w:eastAsia="Times New Roman" w:hAnsi="Times New Roman"/>
          <w:sz w:val="24"/>
          <w:lang w:val="mn-MN"/>
        </w:rPr>
        <w:t xml:space="preserve"> дахь заалтуудын гол агуулга болох Ерөнхий сайд өөрт нь итгэл үзүүлэх тухай  тогтоолын төслийг Улсын Их Хурлын нийт гишүүдийн олонх дэмжээгүй бол </w:t>
      </w:r>
      <w:r w:rsidRPr="00443D94">
        <w:rPr>
          <w:rFonts w:ascii="Times New Roman" w:hAnsi="Times New Roman"/>
          <w:color w:val="333333"/>
          <w:sz w:val="24"/>
          <w:shd w:val="clear" w:color="auto" w:fill="FFFFFF"/>
          <w:lang w:val="mn-MN"/>
        </w:rPr>
        <w:t xml:space="preserve">Ерөнхий </w:t>
      </w:r>
      <w:r w:rsidRPr="00443D94">
        <w:rPr>
          <w:rFonts w:ascii="Times New Roman" w:eastAsia="Times New Roman" w:hAnsi="Times New Roman"/>
          <w:sz w:val="24"/>
          <w:lang w:val="mn-MN"/>
        </w:rPr>
        <w:t>сайдыг огцорсонд тооцох бөгөөд улмаар шинэ Ерөнхий сайдыг томилолгүй 30 хонох тохиолдолд Ерөнхийлөгч Улсын Их Хурлыг тараах шийдвэр гаргах тухай  зохицуулсан байна.</w:t>
      </w:r>
    </w:p>
    <w:p w14:paraId="7DAF6D6D"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Эндээс дүгнэвэл Монгол Улсын Үндсэн хууль дахь парламентыг тараах тухай зохицуулалт нь хорин хоёрдугаар зүйлийн 2-д заасан Улсын Их Хурал бүрэн эрхээ хэрэгжүүлэх боломжгүй болсон гэж нийт гишүүдийн дийлэнх олонх үзсэнтэй холбон зохицуулсан зохицуулалтаас бусад нь Ерөнхий сайдыг томилох, огцруулах, Ерөнхий сайдад итгэл үзүүлэхтэй холбогдсон улс төр, эрх зүйн үр дагавар буюу буюу гүйцэтгэх эрх мэдлийг парламентаас байгуулж чадахгүйд хүрсний улмаас парламентыг тараахтай холбогдсон зохицуулалтууд байна.  Жишээлбэл Ерөнхий сайдыг томилох буюу Засгийн газрыг байгуулж чадахгүйд хүрсний улмаас Ерөнхийлөгч парламентыг тараах тухай зохицуулалт нь парламентын бүгд найрамдах улсууд, тодруулбал Киргыз, Болгар, Латви, Унгар, Эстони, Хорват, Итали зэрэг улсуудын</w:t>
      </w:r>
      <w:r w:rsidRPr="00443D94">
        <w:rPr>
          <w:rStyle w:val="FootnoteReference"/>
          <w:rFonts w:ascii="Times New Roman" w:eastAsia="Times New Roman" w:hAnsi="Times New Roman"/>
          <w:sz w:val="24"/>
          <w:lang w:val="mn-MN"/>
        </w:rPr>
        <w:footnoteReference w:id="46"/>
      </w:r>
      <w:r w:rsidRPr="00443D94">
        <w:rPr>
          <w:rFonts w:ascii="Times New Roman" w:eastAsia="Times New Roman" w:hAnsi="Times New Roman"/>
          <w:sz w:val="24"/>
          <w:lang w:val="mn-MN"/>
        </w:rPr>
        <w:t xml:space="preserve"> Үндсэн хуульд тусгагдсан парламентыг тараах асуудлыг гагцхүү Ерөнхийлөгчийн эрх мэдэлд хамааруулдаг  нийтлэг эрх зүйн зохицуулалттай ижил төстэй байна.</w:t>
      </w:r>
    </w:p>
    <w:p w14:paraId="4E05EC67"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 xml:space="preserve">Тэрчлэн Монгол Улсын Үндсэн хууль дахь Ерөнхий сайдад итгэл үзүүлэхтэй холбогдсон улс төр, эрх зүйн үр дагавар буюу буюу гүйцэтгэх эрх мэдлийг парламентаас байгуулж чадахгүйд хүрсний улмаас парламентыг тараахтай холбогдсон зохицуулалт өөрийн гэсэн онцлогтой. Тухайлан өгүүлбэл Төрийн эрх мэдэл хоорондын хяналт-тэнцлийн үүднээс үзвэл, нэг эрх мэдлийн байгууллагыг огцруулах тухай асуудлыг нөгөө эрх мэдлийн байгууллага санаачилж байгаа бол өөрөө бас тарах хэмжээний эрсдэл хүлээдэг конструктив зарчмын талаар өмнө өгүүүлсэн. Харин Монгол Улсын Үндсэн хуульд конструктив зарчмыг сонгодог утгаар тусгаагүй. Энэ нь (1) Ерөнхий сайдад парламент итгэл үзүүлэхгүй гэвэл дараагийн шинэ Ерөнхий сайдын нэр бэлэн байх, (2) Ерөнхий сайдад парламент итгэл үзүүлэхгүй гэвэл Ерөнхий сайдын санал болгосноор Ерөнхийлөгч 21 хоногийн дотор парламентыг тараах, (3) Парламент энэ хугацаанд гишүүдийнхээ олонхын саналаар шинэ Ерөнхий сайдыг сонгосон бол Ерөнхийлөгчийн парламентыг тараах эрх хүчингүй болох зэрэг парламентын бүгд найрамдах улсын (ХБНГУ) Үндсэн хуулийн нийтлэг зохицуулалтаас өөр байгаагаар тодорхойлогдоно. </w:t>
      </w:r>
    </w:p>
    <w:p w14:paraId="544B045B"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Тодруулбал  Монгол Улсын Үндсэн хуулийн дөчин дөрөвдүгээр зүйлийн 1,2-д тодорхойлсон Ерөнхий сайдад парламент итгэл үзүүлээгүйгээс үүдэн Ерөнхий сайд огцорсон бол дараагийн шинэ Ерөнхий сайдыг парламентаас 30 хоногийн дотор сонгож чадахгүйд хүрсний улмаас парламентыг тараах эрхийг Ерөнхий сайдад биш, харин бүх ард түмнээс сонгогдсон Ерөнхийлөгчид олгосон гэдгээрээ онцлог юм.</w:t>
      </w:r>
    </w:p>
    <w:p w14:paraId="5CF30833"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Түүнчлэн Монгол Улсын хууль тогтоох байгууллага бүтцийн хувьд нэг танхимтай учир Ерөнхий сайд, түүний кабинетэд итгэл үзүүлэх, эс үзүүлэх асуудлаар парламент тарах асуудлыг цаашид нарийвчлан судлах шаардлагатай. Учир нь парламентын нэг танхимтай улсуудад парламентыг тараадаг зохицуулалт нийтлэг биш. Хэрэв нэг танхимтай улсад парламентыг тараах зохицуулалтыг цаг хугацаа, нөхцөл байдлын шалгуурыг харгалзан сайтар зохицуулж өгөхгүй бол төрийн бодлого тасалдах буюу байн байн парламентгүй болох эрсдэлээс урьдчилан сэргийлж чадахгүй юм.</w:t>
      </w:r>
    </w:p>
    <w:p w14:paraId="2D24ADA5" w14:textId="77777777" w:rsidR="00FD524F" w:rsidRPr="00443D94" w:rsidRDefault="00FD524F" w:rsidP="008049E2">
      <w:pPr>
        <w:spacing w:line="240" w:lineRule="auto"/>
        <w:rPr>
          <w:rFonts w:ascii="Times New Roman" w:eastAsia="Times New Roman" w:hAnsi="Times New Roman"/>
          <w:sz w:val="24"/>
          <w:lang w:val="mn-MN"/>
        </w:rPr>
      </w:pPr>
    </w:p>
    <w:p w14:paraId="5D922374" w14:textId="7AABD559"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Дүгнэлт</w:t>
      </w:r>
    </w:p>
    <w:p w14:paraId="231412BF" w14:textId="77777777" w:rsidR="00FD524F" w:rsidRPr="00443D94" w:rsidRDefault="00FD524F" w:rsidP="008049E2">
      <w:pPr>
        <w:spacing w:line="240" w:lineRule="auto"/>
        <w:jc w:val="both"/>
        <w:rPr>
          <w:rFonts w:ascii="Times New Roman" w:hAnsi="Times New Roman"/>
          <w:sz w:val="24"/>
          <w:lang w:val="mn-MN"/>
        </w:rPr>
      </w:pPr>
    </w:p>
    <w:p w14:paraId="4A670F27" w14:textId="73266596" w:rsidR="00EE16ED" w:rsidRPr="00443D94" w:rsidRDefault="00EE16ED" w:rsidP="008049E2">
      <w:pPr>
        <w:spacing w:line="240" w:lineRule="auto"/>
        <w:jc w:val="both"/>
        <w:rPr>
          <w:rFonts w:ascii="Times New Roman" w:eastAsia="Times New Roman" w:hAnsi="Times New Roman"/>
          <w:sz w:val="24"/>
          <w:lang w:val="mn-MN"/>
        </w:rPr>
      </w:pPr>
      <w:r w:rsidRPr="00443D94">
        <w:rPr>
          <w:rFonts w:ascii="Times New Roman" w:hAnsi="Times New Roman"/>
          <w:sz w:val="24"/>
          <w:lang w:val="mn-MN"/>
        </w:rPr>
        <w:t>Энэхүү өгүүллэгээр</w:t>
      </w:r>
      <w:r w:rsidRPr="00443D94">
        <w:rPr>
          <w:rFonts w:ascii="Times New Roman" w:eastAsia="Times New Roman" w:hAnsi="Times New Roman"/>
          <w:sz w:val="24"/>
          <w:lang w:val="mn-MN"/>
        </w:rPr>
        <w:t xml:space="preserve"> ард түмний төлөөгчдийн байгууллага болсон парламентыг тараах цаг хугацаа, нөхцөл байдлын хязгаарлалт, парламентыг тараах Үндсэн хуулийн зохицуулалтыг гадаад улсуудын Үндсэн хуульд тулгуурлан зохих түвшинд судлан шинжилж, эцэст нь </w:t>
      </w:r>
      <w:r w:rsidRPr="00443D94">
        <w:rPr>
          <w:rFonts w:ascii="Times New Roman" w:hAnsi="Times New Roman"/>
          <w:sz w:val="24"/>
          <w:lang w:val="mn-MN"/>
        </w:rPr>
        <w:t xml:space="preserve">Монгол улсын Үндсэн хуульд тусгагдсан Улсын Их Хурлыг тараахтай холбогдсон эрх зүйн зохицуулалтын талаар дүгнэлт хийлээ. Энэ тухай сийрүүлбэл </w:t>
      </w:r>
      <w:r w:rsidRPr="00443D94">
        <w:rPr>
          <w:rFonts w:ascii="Times New Roman" w:hAnsi="Times New Roman"/>
          <w:i/>
          <w:sz w:val="24"/>
          <w:lang w:val="mn-MN"/>
        </w:rPr>
        <w:t>нэгдүгээрт,</w:t>
      </w:r>
      <w:r w:rsidRPr="00443D94">
        <w:rPr>
          <w:rFonts w:ascii="Times New Roman" w:hAnsi="Times New Roman"/>
          <w:sz w:val="24"/>
          <w:lang w:val="mn-MN"/>
        </w:rPr>
        <w:t xml:space="preserve"> парламентыг тараах цаг хугацаа, нөхцөл байдлын хязгаарлалт нь гадаад улсуудын Үндсэн хуульд нийтлэг байдлаар буюу парламентыг тийм амархан тарааж болохгүй байхаар зохицуулагдсан байна.</w:t>
      </w:r>
      <w:r w:rsidRPr="00443D94">
        <w:rPr>
          <w:rFonts w:ascii="Times New Roman" w:eastAsia="Times New Roman" w:hAnsi="Times New Roman"/>
          <w:sz w:val="24"/>
          <w:lang w:val="mn-MN"/>
        </w:rPr>
        <w:t xml:space="preserve"> Энэ нь хэн нэгэн этгээд, улс төрийн нам, бүлэглэлүүд парламентыг тараах асуудлыг дур зоргын шинжтэйгээр санаачлах, тараах боломжийг хязгаарлаж байгаа явдал гэдгийг судалгаанд хамрагдсан улсууд харуулж байна.</w:t>
      </w:r>
    </w:p>
    <w:p w14:paraId="6EBD283A"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i/>
          <w:sz w:val="24"/>
          <w:lang w:val="mn-MN"/>
        </w:rPr>
        <w:t>Хоёрдугаарт,</w:t>
      </w:r>
      <w:r w:rsidRPr="00443D94">
        <w:rPr>
          <w:rFonts w:ascii="Times New Roman" w:eastAsia="Times New Roman" w:hAnsi="Times New Roman"/>
          <w:sz w:val="24"/>
          <w:lang w:val="mn-MN"/>
        </w:rPr>
        <w:t xml:space="preserve"> парламентыг тараах үндэслэл, түүний Үндсэн хуулийн зохицуулалтын нийт долоон төрлийг харьцуулан судалсан. Эндээс парламент бүрэн эрхээ хэрэгжүүлж чадахгүйд хүрэх, Засгийн газрыг байгуулж чадахгүйд хүрсний улмаас парламентыг тараах, парламентын зүгээс гүйцэтгэх эрх мэдлийн бие даасан, хараат бус байдалд халдсаны улмаас парламент тарах, Ерөнхий сайд, түүний кабинетэд итгэл үзүүлэх, эс үзүүлэх асуудлаар парламент тарах зэрэг зохицуулалт хамгийн нийтлэг байна. Энэ нь хууль тогтоох болон гүйцэтгэх эрх мэдэл хоорондын зөрчлийг шийдэх, тэдгээрийн хяналт, тэнцлийг хангах явдалтай шууд холбоотой.</w:t>
      </w:r>
    </w:p>
    <w:p w14:paraId="69BD29D6"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i/>
          <w:sz w:val="24"/>
          <w:lang w:val="mn-MN"/>
        </w:rPr>
        <w:t>Гуравдугаарт,</w:t>
      </w:r>
      <w:r w:rsidRPr="00443D94">
        <w:rPr>
          <w:rFonts w:ascii="Times New Roman" w:eastAsia="Times New Roman" w:hAnsi="Times New Roman"/>
          <w:sz w:val="24"/>
          <w:lang w:val="mn-MN"/>
        </w:rPr>
        <w:t xml:space="preserve"> Парламент өөрөө тарах, парламентыг бүх нийтийн санал асуулгаар тараах Үндсэн хуулийн зохицуулалт нь эрсдэл дагуулдаг учраас нийтлэг биш байна. Ялангуяа парламент өөрөө тарах, парламентыг бүх нийтийн санал асуулгаар тараах Үндсэн хуулийн зохицуулалт нь улс төрийн тогтворгүй байдлыг үүсгэх эрсдэлтэй байдаг.</w:t>
      </w:r>
    </w:p>
    <w:p w14:paraId="18FADED2"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i/>
          <w:sz w:val="24"/>
          <w:lang w:val="mn-MN"/>
        </w:rPr>
        <w:t>Дөрөвдүгээрт,</w:t>
      </w:r>
      <w:r w:rsidRPr="00443D94">
        <w:rPr>
          <w:rFonts w:ascii="Times New Roman" w:eastAsia="Times New Roman" w:hAnsi="Times New Roman"/>
          <w:sz w:val="24"/>
          <w:lang w:val="mn-MN"/>
        </w:rPr>
        <w:t xml:space="preserve"> Ерөнхийлөгчийг парламентаас сонгож чадахгүйн улмаас парламентыг тараах Үндсэн хуулийн зохицуулалт нь Ерөнхийлөгчийг парламентаас сонгодог парламентын бүгд найрамдах улсад ихэд хамааралтай. Тухайлбал Монгол Улсын хувьд Ерөнхийлөгчийг парламентаас сонгох тухай хувилбар байнга яригддаг сэдэв. Иймээс энэ хувилбарыг цаашид гүнзгийрүүлэн судлах шаардлагатай.</w:t>
      </w:r>
    </w:p>
    <w:p w14:paraId="6B42DD3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eastAsia="Times New Roman" w:hAnsi="Times New Roman"/>
          <w:i/>
          <w:sz w:val="24"/>
          <w:lang w:val="mn-MN"/>
        </w:rPr>
        <w:t>Тавдугаарт,</w:t>
      </w:r>
      <w:r w:rsidRPr="00443D94">
        <w:rPr>
          <w:rFonts w:ascii="Times New Roman" w:eastAsia="Times New Roman" w:hAnsi="Times New Roman"/>
          <w:sz w:val="24"/>
          <w:lang w:val="mn-MN"/>
        </w:rPr>
        <w:t xml:space="preserve"> </w:t>
      </w:r>
      <w:r w:rsidRPr="00443D94">
        <w:rPr>
          <w:rFonts w:ascii="Times New Roman" w:hAnsi="Times New Roman"/>
          <w:sz w:val="24"/>
          <w:lang w:val="mn-MN"/>
        </w:rPr>
        <w:t>Монгол Улсын Үндсэн хуульд тусгагдсан Улсын Их Хурлыг тараах эрх зүйн зохицуулалт өөрийн гэсэн өвөрмөц онцлогтой байна. Энэ нь парламентыг тараахтай холбоотой дөрвөн төрлийн эрх зүйн зохицуулалтыг бүх ард түмнээс сонгогдсон Ерөнхийлөгчийн эрх мэдэлд хамааруулсан  байдлаар илэрнэ.</w:t>
      </w:r>
    </w:p>
    <w:p w14:paraId="7F2DEA16"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i/>
          <w:sz w:val="24"/>
          <w:lang w:val="mn-MN"/>
        </w:rPr>
        <w:t>Зургаадугаарт,</w:t>
      </w:r>
      <w:r w:rsidRPr="00443D94">
        <w:rPr>
          <w:rFonts w:ascii="Times New Roman" w:eastAsia="Times New Roman" w:hAnsi="Times New Roman"/>
          <w:sz w:val="24"/>
          <w:lang w:val="mn-MN"/>
        </w:rPr>
        <w:t xml:space="preserve"> парламентыг тараах тухай асуудлыг засаглалын хэлбэрээс хамааран заавал төрийн тэргүүн, хаан, эсвэл Ерөнхийлөгчтэй зөвшилцдөг нийтлэг зохицуулалт байна. Тухайлбал парламентын бүгд найрамдах улсад парламентыг тараах асуудлыг Ерөнхийлөгчтэй, үндсэн хуульт хаант засаглалтай улсад Хаантай зөвшилцөх гэх мэт.</w:t>
      </w:r>
    </w:p>
    <w:p w14:paraId="1F7A3D1D" w14:textId="77777777" w:rsidR="00EE16ED" w:rsidRPr="00443D94" w:rsidRDefault="00EE16ED"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Эцэст нь дүгнэхэд парламентыг тараах асуудал нь парламентын бүтэц, зохион байгуулалт буюу нэг болон хоёр танхимтай эсэх, төрийн байгуулал, засаглалын хэлбэр зэргээс ихэд шалтгаалах учраас цаашид энэ асуудлыг гүйнзгийрүүлэн судлах шаардлагатай.</w:t>
      </w:r>
    </w:p>
    <w:p w14:paraId="2F874366" w14:textId="77777777" w:rsidR="00EE16ED" w:rsidRPr="00443D94" w:rsidRDefault="00EE16ED" w:rsidP="008049E2">
      <w:pPr>
        <w:spacing w:line="240" w:lineRule="auto"/>
        <w:ind w:firstLine="720"/>
        <w:jc w:val="both"/>
        <w:rPr>
          <w:rFonts w:ascii="Times New Roman" w:hAnsi="Times New Roman"/>
          <w:sz w:val="24"/>
          <w:lang w:val="mn-MN"/>
        </w:rPr>
      </w:pPr>
    </w:p>
    <w:p w14:paraId="4845FC42" w14:textId="7E947F01"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Ном зүй</w:t>
      </w:r>
    </w:p>
    <w:p w14:paraId="21D94213" w14:textId="77777777" w:rsidR="00FD524F" w:rsidRPr="00443D94" w:rsidRDefault="00FD524F" w:rsidP="008049E2">
      <w:pPr>
        <w:spacing w:line="240" w:lineRule="auto"/>
        <w:rPr>
          <w:rFonts w:ascii="Times New Roman" w:hAnsi="Times New Roman"/>
          <w:b/>
          <w:sz w:val="24"/>
          <w:lang w:val="mn-MN"/>
        </w:rPr>
      </w:pPr>
    </w:p>
    <w:p w14:paraId="3FEB3F7A" w14:textId="77777777" w:rsidR="00EE16ED" w:rsidRPr="00443D94" w:rsidRDefault="00EE16ED" w:rsidP="008049E2">
      <w:pPr>
        <w:pStyle w:val="FootnoteText"/>
        <w:spacing w:before="0" w:line="240" w:lineRule="auto"/>
        <w:ind w:firstLine="720"/>
        <w:rPr>
          <w:bCs/>
          <w:i/>
          <w:iCs/>
          <w:sz w:val="24"/>
          <w:szCs w:val="24"/>
          <w:lang w:val="mn-MN"/>
        </w:rPr>
      </w:pPr>
      <w:r w:rsidRPr="00443D94">
        <w:rPr>
          <w:bCs/>
          <w:i/>
          <w:iCs/>
          <w:sz w:val="24"/>
          <w:szCs w:val="24"/>
          <w:lang w:val="mn-MN"/>
        </w:rPr>
        <w:t>Монгол эх сурвалж</w:t>
      </w:r>
    </w:p>
    <w:p w14:paraId="710ABA0F"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АНУ-ын Үндсэн хууль” Хоёрдугаар зүйл. Гуравдугаар хэсэг. орч Д.Цолмон, Ч.Лхагважав Улаанбаатар (2000)</w:t>
      </w:r>
    </w:p>
    <w:p w14:paraId="4390B8B3"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Машбат О, “Үндсэн хууль: Улс төр, эрх зүй, хянал-тэнцэл” Улаанбаатар (2015)</w:t>
      </w:r>
    </w:p>
    <w:p w14:paraId="220A908F"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ХБНГУ-ын Үндсэн хууль. 30 дахь тал. Орчуулсан Конрад Аденаурын сан. УБ.,2019</w:t>
      </w:r>
    </w:p>
    <w:p w14:paraId="0A587626"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Лүндэндорж Н,  “Монгол Улсын Үндсэн хууль, шинжлэх ухааны тайлбар” Улаанбаатар ( 2022)</w:t>
      </w:r>
    </w:p>
    <w:p w14:paraId="7EB94C1E"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Солонго  Д, “Төрийн эрх зүйн тайлбар толь” Улаанбаатар (2003)</w:t>
      </w:r>
    </w:p>
    <w:p w14:paraId="25AA2392"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Төртогтох Ж, “Парламент судлалын гарын авлага”  Улаанбаатар (2010)</w:t>
      </w:r>
    </w:p>
    <w:p w14:paraId="0B235782"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Чимэд Б,  “Үндсэн хуулийн мэдлэг” Улаанбаатар (2008)</w:t>
      </w:r>
    </w:p>
    <w:p w14:paraId="65E0C3EE" w14:textId="77777777" w:rsidR="00EE16ED" w:rsidRPr="00443D94" w:rsidRDefault="00EE16ED" w:rsidP="008049E2">
      <w:pPr>
        <w:pStyle w:val="FootnoteText"/>
        <w:spacing w:before="0" w:line="240" w:lineRule="auto"/>
        <w:ind w:firstLine="720"/>
        <w:jc w:val="both"/>
        <w:rPr>
          <w:sz w:val="24"/>
          <w:szCs w:val="24"/>
          <w:lang w:val="mn-MN"/>
        </w:rPr>
      </w:pPr>
      <w:r w:rsidRPr="00443D94">
        <w:rPr>
          <w:sz w:val="24"/>
          <w:szCs w:val="24"/>
          <w:lang w:val="mn-MN"/>
        </w:rPr>
        <w:t>“Парламентын засаглалтай улс орнуудын төрийн эрх мэдлийн хуваарилалт, онцлог” сэдэвт судалгаа. Улсын Их Хурлын Тамгын газрын судалгаа, мэдээлэл, лавлагааны алба. Улаанбаатар 2017</w:t>
      </w:r>
    </w:p>
    <w:p w14:paraId="1E5AF5A0" w14:textId="77777777" w:rsidR="00EE16ED" w:rsidRPr="00443D94" w:rsidRDefault="00EE16ED" w:rsidP="008049E2">
      <w:pPr>
        <w:pStyle w:val="FootnoteText"/>
        <w:spacing w:before="0" w:line="240" w:lineRule="auto"/>
        <w:ind w:firstLine="720"/>
        <w:rPr>
          <w:bCs/>
          <w:i/>
          <w:iCs/>
          <w:sz w:val="24"/>
          <w:szCs w:val="24"/>
          <w:lang w:val="mn-MN"/>
        </w:rPr>
      </w:pPr>
      <w:r w:rsidRPr="00443D94">
        <w:rPr>
          <w:bCs/>
          <w:i/>
          <w:iCs/>
          <w:sz w:val="24"/>
          <w:szCs w:val="24"/>
          <w:lang w:val="mn-MN"/>
        </w:rPr>
        <w:t>Гадаад эх сурвалж</w:t>
      </w:r>
    </w:p>
    <w:p w14:paraId="301F9F3D"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Alexander Hamilton, James Madison, and John Jay. “The Federalist papers” Introduction and Notes by Charles R.Kesler. Copyright (1961)</w:t>
      </w:r>
    </w:p>
    <w:p w14:paraId="482CC0D9"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Constitution of japan Art 7</w:t>
      </w:r>
    </w:p>
    <w:p w14:paraId="77EF2EED"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Kazakhstan's Constitution of 1995 with Amendments through 2017. Article 63</w:t>
      </w:r>
    </w:p>
    <w:p w14:paraId="2DE84218"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Constitution of French. Article.12</w:t>
      </w:r>
    </w:p>
    <w:p w14:paraId="423C6045"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Czech Republic's Constitution of 1993 with Amendments through 2013. Article 35</w:t>
      </w:r>
    </w:p>
    <w:p w14:paraId="214610D5" w14:textId="77777777" w:rsidR="00EE16ED" w:rsidRPr="00443D94" w:rsidRDefault="00EE16ED" w:rsidP="008049E2">
      <w:pPr>
        <w:spacing w:line="240" w:lineRule="auto"/>
        <w:ind w:firstLine="720"/>
        <w:rPr>
          <w:rFonts w:ascii="Times New Roman" w:hAnsi="Times New Roman"/>
          <w:sz w:val="24"/>
          <w:lang w:val="mn-MN"/>
        </w:rPr>
      </w:pPr>
      <w:r w:rsidRPr="00443D94">
        <w:rPr>
          <w:rFonts w:ascii="Times New Roman" w:hAnsi="Times New Roman"/>
          <w:sz w:val="24"/>
          <w:lang w:val="mn-MN"/>
        </w:rPr>
        <w:t>Constitution of Scotland. Section 4.15</w:t>
      </w:r>
    </w:p>
    <w:p w14:paraId="18008616" w14:textId="77777777" w:rsidR="00EE16ED" w:rsidRPr="00443D94" w:rsidRDefault="00EE16ED" w:rsidP="008049E2">
      <w:pPr>
        <w:spacing w:line="240" w:lineRule="auto"/>
        <w:ind w:firstLine="720"/>
        <w:rPr>
          <w:rFonts w:ascii="Times New Roman" w:hAnsi="Times New Roman"/>
          <w:sz w:val="24"/>
          <w:lang w:val="mn-MN"/>
        </w:rPr>
      </w:pPr>
      <w:r w:rsidRPr="00443D94">
        <w:rPr>
          <w:rFonts w:ascii="Times New Roman" w:hAnsi="Times New Roman"/>
          <w:sz w:val="24"/>
          <w:lang w:val="mn-MN"/>
        </w:rPr>
        <w:t xml:space="preserve">Constitution of latvia. Chapter II The Saeima. 14.  </w:t>
      </w:r>
    </w:p>
    <w:p w14:paraId="6724B123" w14:textId="77777777" w:rsidR="00EE16ED" w:rsidRPr="00443D94" w:rsidRDefault="00EE16ED" w:rsidP="008049E2">
      <w:pPr>
        <w:spacing w:line="240" w:lineRule="auto"/>
        <w:ind w:firstLine="720"/>
        <w:rPr>
          <w:rFonts w:ascii="Times New Roman" w:hAnsi="Times New Roman"/>
          <w:sz w:val="24"/>
          <w:lang w:val="mn-MN"/>
        </w:rPr>
      </w:pPr>
      <w:r w:rsidRPr="00443D94">
        <w:rPr>
          <w:rFonts w:ascii="Times New Roman" w:hAnsi="Times New Roman"/>
          <w:sz w:val="24"/>
          <w:lang w:val="mn-MN"/>
        </w:rPr>
        <w:t xml:space="preserve">Constitution of latvia. Chapter III </w:t>
      </w:r>
      <w:r w:rsidRPr="00443D94">
        <w:rPr>
          <w:rStyle w:val="Strong"/>
          <w:rFonts w:ascii="Times New Roman" w:hAnsi="Times New Roman"/>
          <w:b w:val="0"/>
          <w:bCs w:val="0"/>
          <w:color w:val="000000"/>
          <w:sz w:val="24"/>
          <w:shd w:val="clear" w:color="auto" w:fill="FFFFFF"/>
          <w:lang w:val="mn-MN"/>
        </w:rPr>
        <w:t>The President. 48.</w:t>
      </w:r>
      <w:r w:rsidRPr="00443D94">
        <w:rPr>
          <w:rStyle w:val="Strong"/>
          <w:rFonts w:ascii="Times New Roman" w:hAnsi="Times New Roman"/>
          <w:color w:val="000000"/>
          <w:sz w:val="24"/>
          <w:shd w:val="clear" w:color="auto" w:fill="FFFFFF"/>
          <w:lang w:val="mn-MN"/>
        </w:rPr>
        <w:t xml:space="preserve"> </w:t>
      </w:r>
      <w:r w:rsidRPr="00443D94">
        <w:rPr>
          <w:rFonts w:ascii="Times New Roman" w:hAnsi="Times New Roman"/>
          <w:sz w:val="24"/>
          <w:lang w:val="mn-MN"/>
        </w:rPr>
        <w:t xml:space="preserve"> </w:t>
      </w:r>
    </w:p>
    <w:p w14:paraId="05AC7FEF"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Constitution of hungary. The state- parliament. Article 3</w:t>
      </w:r>
    </w:p>
    <w:p w14:paraId="45B49CBC" w14:textId="77777777" w:rsidR="00EE16ED" w:rsidRPr="00443D94" w:rsidRDefault="00EE16ED" w:rsidP="008049E2">
      <w:pPr>
        <w:pStyle w:val="FootnoteText"/>
        <w:spacing w:before="0" w:line="240" w:lineRule="auto"/>
        <w:ind w:firstLine="720"/>
        <w:rPr>
          <w:sz w:val="24"/>
          <w:szCs w:val="24"/>
          <w:lang w:val="mn-MN"/>
        </w:rPr>
      </w:pPr>
      <w:r w:rsidRPr="00443D94">
        <w:rPr>
          <w:sz w:val="24"/>
          <w:szCs w:val="24"/>
          <w:lang w:val="mn-MN"/>
        </w:rPr>
        <w:t xml:space="preserve">Constitution of Spain Section 99. </w:t>
      </w:r>
    </w:p>
    <w:p w14:paraId="3CEDB8E1" w14:textId="70A36632" w:rsidR="00EE16ED" w:rsidRPr="00443D94" w:rsidRDefault="00EE16ED" w:rsidP="002A4177">
      <w:pPr>
        <w:pStyle w:val="FootnoteText"/>
        <w:spacing w:before="0" w:line="240" w:lineRule="auto"/>
        <w:rPr>
          <w:sz w:val="24"/>
          <w:szCs w:val="24"/>
          <w:lang w:val="mn-MN"/>
        </w:rPr>
      </w:pPr>
    </w:p>
    <w:p w14:paraId="264A6162" w14:textId="7A0A4282"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GROUNDS FOR THE DISSOLUTION OF PARLIAMENT AND ITS CONSTITUTIONAL REGULATION</w:t>
      </w:r>
    </w:p>
    <w:p w14:paraId="47947B48" w14:textId="77777777" w:rsidR="002A4177" w:rsidRPr="00443D94" w:rsidRDefault="002A4177" w:rsidP="002A4177">
      <w:pPr>
        <w:pStyle w:val="FootnoteText"/>
        <w:spacing w:before="0" w:line="240" w:lineRule="auto"/>
        <w:rPr>
          <w:sz w:val="24"/>
          <w:szCs w:val="24"/>
          <w:lang w:val="mn-MN"/>
        </w:rPr>
      </w:pPr>
    </w:p>
    <w:p w14:paraId="469CA1BA" w14:textId="4E1A9C13" w:rsidR="00FD524F" w:rsidRPr="00443D94" w:rsidRDefault="00FD524F"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b/>
          <w:sz w:val="24"/>
          <w:lang w:val="mn-MN"/>
        </w:rPr>
        <w:t>Summary</w:t>
      </w:r>
    </w:p>
    <w:p w14:paraId="37494AE9" w14:textId="77777777" w:rsidR="00FD524F" w:rsidRPr="00443D94" w:rsidRDefault="00FD524F" w:rsidP="008049E2">
      <w:pPr>
        <w:spacing w:line="240" w:lineRule="auto"/>
        <w:jc w:val="both"/>
        <w:rPr>
          <w:rFonts w:ascii="Times New Roman" w:eastAsia="Times New Roman" w:hAnsi="Times New Roman"/>
          <w:sz w:val="24"/>
          <w:lang w:val="mn-MN"/>
        </w:rPr>
      </w:pPr>
    </w:p>
    <w:p w14:paraId="26C89E5B" w14:textId="01F536F0" w:rsidR="00FD524F" w:rsidRPr="00443D94" w:rsidRDefault="00FD524F" w:rsidP="008049E2">
      <w:pPr>
        <w:spacing w:line="240" w:lineRule="auto"/>
        <w:jc w:val="both"/>
        <w:rPr>
          <w:rFonts w:ascii="Times New Roman" w:eastAsia="Times New Roman" w:hAnsi="Times New Roman"/>
          <w:sz w:val="24"/>
          <w:lang w:val="mn-MN"/>
        </w:rPr>
      </w:pPr>
      <w:r w:rsidRPr="00443D94">
        <w:rPr>
          <w:rFonts w:ascii="Times New Roman" w:eastAsia="Times New Roman" w:hAnsi="Times New Roman"/>
          <w:sz w:val="24"/>
          <w:lang w:val="mn-MN"/>
        </w:rPr>
        <w:t>The reason for the dissolution of the parliament and its constitutional regulation are the issues of constitutional development and parliamentarianism, the study of state organization, and the distribution of state power in constitutional jurisprudence, as well as the complicated mechanisms related to its control and balance, which should be further studied. one. Therefore, this article was written due to the need, requirement, and purpose of analyzing the basis of the dissolution of the parliament, which is the main mechanism for determining the control and balance of the legislative and executive governments, and its constitutional regulations based on the constitutions of foreign countries at an appropriate level.</w:t>
      </w:r>
    </w:p>
    <w:p w14:paraId="796FDF86" w14:textId="77777777" w:rsidR="00FD524F" w:rsidRPr="00443D94" w:rsidRDefault="00FD524F" w:rsidP="008049E2">
      <w:pPr>
        <w:spacing w:line="240" w:lineRule="auto"/>
        <w:ind w:firstLine="720"/>
        <w:jc w:val="both"/>
        <w:rPr>
          <w:rFonts w:ascii="Times New Roman" w:eastAsia="Times New Roman" w:hAnsi="Times New Roman"/>
          <w:sz w:val="24"/>
          <w:lang w:val="mn-MN"/>
        </w:rPr>
      </w:pPr>
      <w:r w:rsidRPr="00443D94">
        <w:rPr>
          <w:rFonts w:ascii="Times New Roman" w:eastAsia="Times New Roman" w:hAnsi="Times New Roman"/>
          <w:sz w:val="24"/>
          <w:lang w:val="mn-MN"/>
        </w:rPr>
        <w:t>In doing this comparative research, it may be significant that, on the basis of an appropriate level of comparative study of certain types of constitutional regulations on the dissolution of the parliament, conclusions have been made on the legal regulations for the dissolution of the National Assembly, which is included in the Constitution of Mongolia.</w:t>
      </w:r>
    </w:p>
    <w:p w14:paraId="53DF090C" w14:textId="77777777" w:rsidR="00FD524F" w:rsidRPr="00443D94" w:rsidRDefault="00FD524F" w:rsidP="008049E2">
      <w:pPr>
        <w:spacing w:line="240" w:lineRule="auto"/>
        <w:jc w:val="both"/>
        <w:rPr>
          <w:rFonts w:ascii="Times New Roman" w:eastAsia="Times New Roman" w:hAnsi="Times New Roman"/>
          <w:sz w:val="24"/>
          <w:lang w:val="mn-MN"/>
        </w:rPr>
      </w:pPr>
    </w:p>
    <w:p w14:paraId="4F4BB804" w14:textId="27DF169F" w:rsidR="002A4177" w:rsidRPr="00443D94" w:rsidRDefault="00FD524F" w:rsidP="001E25D8">
      <w:pPr>
        <w:spacing w:line="240" w:lineRule="auto"/>
        <w:jc w:val="both"/>
        <w:rPr>
          <w:rFonts w:ascii="Times New Roman" w:hAnsi="Times New Roman"/>
          <w:sz w:val="24"/>
          <w:lang w:val="mn-MN"/>
        </w:rPr>
      </w:pPr>
      <w:r w:rsidRPr="00443D94">
        <w:rPr>
          <w:rFonts w:ascii="Times New Roman" w:eastAsia="Times New Roman" w:hAnsi="Times New Roman"/>
          <w:b/>
          <w:sz w:val="24"/>
          <w:lang w:val="mn-MN"/>
        </w:rPr>
        <w:t xml:space="preserve">Keywords: </w:t>
      </w:r>
      <w:r w:rsidRPr="00443D94">
        <w:rPr>
          <w:rFonts w:ascii="Times New Roman" w:eastAsia="Times New Roman" w:hAnsi="Times New Roman"/>
          <w:sz w:val="24"/>
          <w:lang w:val="mn-MN"/>
        </w:rPr>
        <w:t>parliament, dissolution of parliament, dissolution of parliament, referendum, executive power</w:t>
      </w:r>
    </w:p>
    <w:sectPr w:rsidR="002A4177" w:rsidRPr="00443D94" w:rsidSect="007F08BC">
      <w:footerReference w:type="default" r:id="rId12"/>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7FB76" w14:textId="77777777" w:rsidR="00F61913" w:rsidRDefault="00F61913">
      <w:r>
        <w:separator/>
      </w:r>
    </w:p>
  </w:endnote>
  <w:endnote w:type="continuationSeparator" w:id="0">
    <w:p w14:paraId="70591EC5" w14:textId="77777777" w:rsidR="00F61913" w:rsidRDefault="00F6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69D89" w14:textId="77777777" w:rsidR="00F61913" w:rsidRDefault="00F61913">
      <w:pPr>
        <w:pStyle w:val="Footer"/>
        <w:tabs>
          <w:tab w:val="clear" w:pos="4320"/>
          <w:tab w:val="left" w:pos="4860"/>
        </w:tabs>
        <w:spacing w:line="200" w:lineRule="exact"/>
        <w:rPr>
          <w:u w:val="single" w:color="000000"/>
        </w:rPr>
      </w:pPr>
      <w:r>
        <w:rPr>
          <w:u w:val="single" w:color="000000"/>
        </w:rPr>
        <w:tab/>
      </w:r>
    </w:p>
  </w:footnote>
  <w:footnote w:type="continuationSeparator" w:id="0">
    <w:p w14:paraId="7D9D4FB3" w14:textId="77777777" w:rsidR="00F61913" w:rsidRDefault="00F61913">
      <w:pPr>
        <w:pStyle w:val="FootnoteText"/>
        <w:rPr>
          <w:szCs w:val="24"/>
        </w:rPr>
      </w:pPr>
      <w:r>
        <w:continuationSeparator/>
      </w:r>
    </w:p>
  </w:footnote>
  <w:footnote w:type="continuationNotice" w:id="1">
    <w:p w14:paraId="186A4387" w14:textId="77777777" w:rsidR="00F61913" w:rsidRDefault="00F61913">
      <w:pPr>
        <w:pStyle w:val="Footer"/>
        <w:spacing w:line="14" w:lineRule="exact"/>
      </w:pPr>
    </w:p>
  </w:footnote>
  <w:footnote w:id="2">
    <w:p w14:paraId="17E4888C" w14:textId="77777777" w:rsidR="00EE16ED" w:rsidRPr="009D44AA" w:rsidRDefault="00EE16ED" w:rsidP="003020A5">
      <w:pPr>
        <w:tabs>
          <w:tab w:val="left" w:pos="3030"/>
        </w:tabs>
        <w:spacing w:line="240" w:lineRule="auto"/>
        <w:jc w:val="both"/>
        <w:rPr>
          <w:rFonts w:ascii="Times New Roman" w:hAnsi="Times New Roman"/>
          <w:szCs w:val="20"/>
          <w:lang w:val="mn-MN"/>
        </w:rPr>
      </w:pPr>
      <w:r w:rsidRPr="009D44AA">
        <w:rPr>
          <w:rStyle w:val="FootnoteReference"/>
          <w:rFonts w:ascii="Times New Roman" w:hAnsi="Times New Roman"/>
          <w:szCs w:val="20"/>
        </w:rPr>
        <w:footnoteRef/>
      </w:r>
      <w:r w:rsidRPr="004200D7">
        <w:rPr>
          <w:rFonts w:ascii="Times New Roman" w:hAnsi="Times New Roman"/>
          <w:szCs w:val="20"/>
          <w:lang w:val="mn-MN"/>
        </w:rPr>
        <w:t xml:space="preserve"> </w:t>
      </w:r>
      <w:r w:rsidRPr="009D44AA">
        <w:rPr>
          <w:rFonts w:ascii="Times New Roman" w:hAnsi="Times New Roman"/>
          <w:szCs w:val="20"/>
          <w:lang w:val="mn-MN"/>
        </w:rPr>
        <w:t xml:space="preserve">Хамгийн анхны улс төрийн нам 1867 онд Английн Берменгем хотод үүссэн гэж үздэг. </w:t>
      </w:r>
    </w:p>
  </w:footnote>
  <w:footnote w:id="3">
    <w:p w14:paraId="3557166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 xml:space="preserve"> Солонго Д, “Төрийн эрх зүйн тайлбар толь” УБ.,2003, 97 дахь тал </w:t>
      </w:r>
    </w:p>
  </w:footnote>
  <w:footnote w:id="4">
    <w:p w14:paraId="690392C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Төртогтох Ж,  “Парламент судлалын гарын авлага” УБ.,2010 34 дахь тал</w:t>
      </w:r>
    </w:p>
  </w:footnote>
  <w:footnote w:id="5">
    <w:p w14:paraId="4922FE4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Constitution of Spain Section 99</w:t>
      </w:r>
      <w:r w:rsidRPr="009D44AA">
        <w:rPr>
          <w:sz w:val="20"/>
          <w:lang w:val="mn-MN"/>
        </w:rPr>
        <w:t>. https://www.constituteproject.org/constitution/Spain_2011</w:t>
      </w:r>
    </w:p>
  </w:footnote>
  <w:footnote w:id="6">
    <w:p w14:paraId="5E822B7B"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Constitution of </w:t>
      </w:r>
      <w:proofErr w:type="spellStart"/>
      <w:r w:rsidRPr="009D44AA">
        <w:rPr>
          <w:sz w:val="20"/>
        </w:rPr>
        <w:t>japan</w:t>
      </w:r>
      <w:proofErr w:type="spellEnd"/>
      <w:r w:rsidRPr="009D44AA">
        <w:rPr>
          <w:sz w:val="20"/>
        </w:rPr>
        <w:t xml:space="preserve"> Art 7. https://japan.kantei.go.jp/constitution_and_government_of_japan/constitution_e.html</w:t>
      </w:r>
    </w:p>
  </w:footnote>
  <w:footnote w:id="7">
    <w:p w14:paraId="42CAFC4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“АНУ-ын Үндсэн хууль” Хоёрдугаар зүйл. Гуравдугаар хэсэг. орч Д.Цолмон, Ч.Лхагважав. </w:t>
      </w:r>
    </w:p>
  </w:footnote>
  <w:footnote w:id="8">
    <w:p w14:paraId="003D0D8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The Federalist papers” by Alexander Hamilton, James Madison, and John Jay</w:t>
      </w:r>
      <w:r w:rsidRPr="009D44AA">
        <w:rPr>
          <w:sz w:val="20"/>
          <w:lang w:val="mn-MN"/>
        </w:rPr>
        <w:t xml:space="preserve">. </w:t>
      </w:r>
      <w:r w:rsidRPr="009D44AA">
        <w:rPr>
          <w:sz w:val="20"/>
        </w:rPr>
        <w:t xml:space="preserve"> Introduction and Notes by Charles </w:t>
      </w:r>
      <w:proofErr w:type="spellStart"/>
      <w:r w:rsidRPr="009D44AA">
        <w:rPr>
          <w:sz w:val="20"/>
        </w:rPr>
        <w:t>R.Kesler</w:t>
      </w:r>
      <w:proofErr w:type="spellEnd"/>
      <w:r w:rsidRPr="009D44AA">
        <w:rPr>
          <w:sz w:val="20"/>
        </w:rPr>
        <w:t>. Copyright 1961</w:t>
      </w:r>
      <w:r w:rsidRPr="009D44AA">
        <w:rPr>
          <w:sz w:val="20"/>
          <w:lang w:val="mn-MN"/>
        </w:rPr>
        <w:t xml:space="preserve"> 414-420 </w:t>
      </w:r>
      <w:r w:rsidRPr="009D44AA">
        <w:rPr>
          <w:sz w:val="20"/>
        </w:rPr>
        <w:t>pages</w:t>
      </w:r>
    </w:p>
  </w:footnote>
  <w:footnote w:id="9">
    <w:p w14:paraId="413CD6C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Норвегийн Үндсэн хуульд парламент тараах тухай зохицуулалт байхгүй. https://www.globalwps.org/data/NOR/files/Constitution.pdf</w:t>
      </w:r>
    </w:p>
  </w:footnote>
  <w:footnote w:id="10">
    <w:p w14:paraId="5609396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Constitution of French. Article.12 https://www.constituteproject.org/constitution/France_2008.pdf?lang=en</w:t>
      </w:r>
    </w:p>
  </w:footnote>
  <w:footnote w:id="11">
    <w:p w14:paraId="3AEB54B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Constitution of Spain Section 115. https://www.constituteproject.org/constitution/Spain_2011</w:t>
      </w:r>
    </w:p>
  </w:footnote>
  <w:footnote w:id="12">
    <w:p w14:paraId="711D004F"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Kazakhstan's Constitution of 1995 with Amendments through 2017. Article 63</w:t>
      </w:r>
    </w:p>
  </w:footnote>
  <w:footnote w:id="13">
    <w:p w14:paraId="00A1DA2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Төртогтох Ж, “Парламент судлалын гарын авлага” УБ.,2010, 63 дахь тал</w:t>
      </w:r>
    </w:p>
  </w:footnote>
  <w:footnote w:id="14">
    <w:p w14:paraId="5C39C82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Мөн тэнд 106 дахь тал</w:t>
      </w:r>
    </w:p>
  </w:footnote>
  <w:footnote w:id="15">
    <w:p w14:paraId="2FC15C4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Мөн тэнд 140 дахь тал</w:t>
      </w:r>
    </w:p>
  </w:footnote>
  <w:footnote w:id="16">
    <w:p w14:paraId="27FE3E1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 xml:space="preserve">Czech Republic's Constitution of 1993 with Amendments through 2013. </w:t>
      </w:r>
      <w:r w:rsidRPr="009D44AA">
        <w:rPr>
          <w:sz w:val="20"/>
        </w:rPr>
        <w:t>Article 35 https://www.constituteproject.org/constitution/Czech_Republic_2013.pdf?lang=en</w:t>
      </w:r>
    </w:p>
  </w:footnote>
  <w:footnote w:id="17">
    <w:p w14:paraId="5FA04BC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“Парламентын засаглалтай улс орнуудын төрийн эрх мэдлийн хуваарилалт, онцлог” сэдэвт судалгаа. Улсын Их Хурлын Тамгын газрын судалгаа, мэдээлэл, лавлагааны алба 2017</w:t>
      </w:r>
    </w:p>
  </w:footnote>
  <w:footnote w:id="18">
    <w:p w14:paraId="2387C1D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Мөн тэнд</w:t>
      </w:r>
    </w:p>
  </w:footnote>
  <w:footnote w:id="19">
    <w:p w14:paraId="2A24704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Мөн тэнд</w:t>
      </w:r>
    </w:p>
  </w:footnote>
  <w:footnote w:id="20">
    <w:p w14:paraId="52F45AD0" w14:textId="77777777" w:rsidR="00EE16ED" w:rsidRPr="004200D7" w:rsidRDefault="00EE16ED" w:rsidP="003020A5">
      <w:pPr>
        <w:spacing w:line="240" w:lineRule="auto"/>
        <w:jc w:val="both"/>
        <w:rPr>
          <w:rFonts w:ascii="Times New Roman" w:hAnsi="Times New Roman"/>
          <w:szCs w:val="20"/>
          <w:lang w:val="mn-MN"/>
        </w:rPr>
      </w:pPr>
      <w:r w:rsidRPr="009D44AA">
        <w:rPr>
          <w:rStyle w:val="FootnoteReference"/>
          <w:rFonts w:ascii="Times New Roman" w:hAnsi="Times New Roman"/>
          <w:szCs w:val="20"/>
        </w:rPr>
        <w:footnoteRef/>
      </w:r>
      <w:r w:rsidRPr="009D44AA">
        <w:rPr>
          <w:rFonts w:ascii="Times New Roman" w:hAnsi="Times New Roman"/>
          <w:szCs w:val="20"/>
        </w:rPr>
        <w:t xml:space="preserve"> Constitution of Scotland</w:t>
      </w:r>
      <w:r w:rsidRPr="009D44AA">
        <w:rPr>
          <w:rFonts w:ascii="Times New Roman" w:hAnsi="Times New Roman"/>
          <w:szCs w:val="20"/>
          <w:lang w:val="mn-MN"/>
        </w:rPr>
        <w:t>. Section 4.15</w:t>
      </w:r>
    </w:p>
  </w:footnote>
  <w:footnote w:id="21">
    <w:p w14:paraId="034CC38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Мөн тэнд</w:t>
      </w:r>
    </w:p>
  </w:footnote>
  <w:footnote w:id="22">
    <w:p w14:paraId="32F6672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Төртогтох Ж, “Парламент судлалын гарын авлага” УБ.,2010, 78 дахь тал</w:t>
      </w:r>
    </w:p>
  </w:footnote>
  <w:footnote w:id="23">
    <w:p w14:paraId="31DF9A0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Лүндэндорж Н, “Монгол Улсын Үндсэн хууль, шинжлэх ухааны тайлбар” УБ., 2022 372-373 дахь тал.</w:t>
      </w:r>
    </w:p>
  </w:footnote>
  <w:footnote w:id="24">
    <w:p w14:paraId="6A252076"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Мөн тэнд</w:t>
      </w:r>
    </w:p>
  </w:footnote>
  <w:footnote w:id="25">
    <w:p w14:paraId="2D5B3CDD"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Constitution of </w:t>
      </w:r>
      <w:proofErr w:type="spellStart"/>
      <w:r w:rsidRPr="009D44AA">
        <w:rPr>
          <w:sz w:val="20"/>
        </w:rPr>
        <w:t>latvia</w:t>
      </w:r>
      <w:proofErr w:type="spellEnd"/>
      <w:r w:rsidRPr="009D44AA">
        <w:rPr>
          <w:sz w:val="20"/>
          <w:lang w:val="mn-MN"/>
        </w:rPr>
        <w:t xml:space="preserve">. Chapter II The Saeima. 14. </w:t>
      </w:r>
      <w:r w:rsidRPr="009D44AA">
        <w:rPr>
          <w:rStyle w:val="Strong"/>
          <w:color w:val="000000"/>
          <w:sz w:val="20"/>
          <w:shd w:val="clear" w:color="auto" w:fill="FFFFFF"/>
          <w:lang w:val="mn-MN"/>
        </w:rPr>
        <w:t xml:space="preserve">. </w:t>
      </w:r>
      <w:r w:rsidRPr="009D44AA">
        <w:rPr>
          <w:sz w:val="20"/>
        </w:rPr>
        <w:t xml:space="preserve"> https://www.saeima.lv/en/legislative-process/constitution</w:t>
      </w:r>
    </w:p>
  </w:footnote>
  <w:footnote w:id="26">
    <w:p w14:paraId="203AB6A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Мөн тэнд</w:t>
      </w:r>
    </w:p>
  </w:footnote>
  <w:footnote w:id="27">
    <w:p w14:paraId="077D689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Constitution of </w:t>
      </w:r>
      <w:proofErr w:type="spellStart"/>
      <w:r w:rsidRPr="009D44AA">
        <w:rPr>
          <w:sz w:val="20"/>
        </w:rPr>
        <w:t>latvia</w:t>
      </w:r>
      <w:proofErr w:type="spellEnd"/>
      <w:r w:rsidRPr="009D44AA">
        <w:rPr>
          <w:sz w:val="20"/>
          <w:lang w:val="mn-MN"/>
        </w:rPr>
        <w:t>. Chapter II</w:t>
      </w:r>
      <w:r w:rsidRPr="009D44AA">
        <w:rPr>
          <w:sz w:val="20"/>
        </w:rPr>
        <w:t xml:space="preserve">I </w:t>
      </w:r>
      <w:r w:rsidRPr="009D44AA">
        <w:rPr>
          <w:rStyle w:val="Strong"/>
          <w:color w:val="000000"/>
          <w:sz w:val="20"/>
          <w:shd w:val="clear" w:color="auto" w:fill="FFFFFF"/>
        </w:rPr>
        <w:t>The President</w:t>
      </w:r>
      <w:r w:rsidRPr="009D44AA">
        <w:rPr>
          <w:rStyle w:val="Strong"/>
          <w:color w:val="000000"/>
          <w:sz w:val="20"/>
          <w:shd w:val="clear" w:color="auto" w:fill="FFFFFF"/>
          <w:lang w:val="mn-MN"/>
        </w:rPr>
        <w:t xml:space="preserve">. 48. </w:t>
      </w:r>
      <w:r w:rsidRPr="009D44AA">
        <w:rPr>
          <w:sz w:val="20"/>
        </w:rPr>
        <w:t xml:space="preserve"> https://www.saeima.lv/en/legislative-process/constitution</w:t>
      </w:r>
    </w:p>
  </w:footnote>
  <w:footnote w:id="28">
    <w:p w14:paraId="7121B5AD" w14:textId="77777777" w:rsidR="00EE16ED" w:rsidRPr="009D44AA" w:rsidRDefault="00EE16ED" w:rsidP="003020A5">
      <w:pPr>
        <w:spacing w:line="240" w:lineRule="auto"/>
        <w:jc w:val="both"/>
        <w:rPr>
          <w:rFonts w:ascii="Times New Roman" w:eastAsia="Times New Roman" w:hAnsi="Times New Roman"/>
          <w:szCs w:val="20"/>
          <w:lang w:val="mn-MN"/>
        </w:rPr>
      </w:pPr>
      <w:r w:rsidRPr="009D44AA">
        <w:rPr>
          <w:rStyle w:val="FootnoteReference"/>
          <w:rFonts w:ascii="Times New Roman" w:hAnsi="Times New Roman"/>
          <w:szCs w:val="20"/>
        </w:rPr>
        <w:footnoteRef/>
      </w:r>
      <w:r w:rsidRPr="004200D7">
        <w:rPr>
          <w:rFonts w:ascii="Times New Roman" w:hAnsi="Times New Roman"/>
          <w:szCs w:val="20"/>
          <w:lang w:val="mn-MN"/>
        </w:rPr>
        <w:t xml:space="preserve"> </w:t>
      </w:r>
      <w:r w:rsidRPr="009D44AA">
        <w:rPr>
          <w:rFonts w:ascii="Times New Roman" w:hAnsi="Times New Roman"/>
          <w:szCs w:val="20"/>
          <w:lang w:val="mn-MN"/>
        </w:rPr>
        <w:t xml:space="preserve">МУҮХ-ийн </w:t>
      </w:r>
      <w:r w:rsidRPr="009D44AA">
        <w:rPr>
          <w:rFonts w:ascii="Times New Roman" w:eastAsia="Times New Roman" w:hAnsi="Times New Roman"/>
          <w:szCs w:val="20"/>
          <w:lang w:val="mn-MN"/>
        </w:rPr>
        <w:t xml:space="preserve">39.2. Улсын Их Хуралд олонх суудал авсан нам, эвслээс нэр дэвшүүлсэн хүнийг, аль ч нам, эвсэл олонхийн суудал аваагүй бол хамгийн олон суудал авсан нам, эвсэл бусад нам, эвсэлтэй зөвшилцөн олонхийг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 </w:t>
      </w:r>
    </w:p>
  </w:footnote>
  <w:footnote w:id="29">
    <w:p w14:paraId="3543ABB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ХБНГУ-ын Үндсэн хууль. 30 дахь тал. Орчуулсан Конрад Аденаурын сан. УБ.,2019</w:t>
      </w:r>
    </w:p>
  </w:footnote>
  <w:footnote w:id="30">
    <w:p w14:paraId="001FDE6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Constitution of </w:t>
      </w:r>
      <w:proofErr w:type="spellStart"/>
      <w:r w:rsidRPr="009D44AA">
        <w:rPr>
          <w:sz w:val="20"/>
        </w:rPr>
        <w:t>hungary</w:t>
      </w:r>
      <w:proofErr w:type="spellEnd"/>
      <w:r w:rsidRPr="009D44AA">
        <w:rPr>
          <w:sz w:val="20"/>
          <w:lang w:val="mn-MN"/>
        </w:rPr>
        <w:t xml:space="preserve">. </w:t>
      </w:r>
      <w:r w:rsidRPr="009D44AA">
        <w:rPr>
          <w:sz w:val="20"/>
        </w:rPr>
        <w:t>The state- parliament</w:t>
      </w:r>
      <w:r w:rsidRPr="009D44AA">
        <w:rPr>
          <w:sz w:val="20"/>
          <w:lang w:val="mn-MN"/>
        </w:rPr>
        <w:t xml:space="preserve">. Article 3 </w:t>
      </w:r>
      <w:r w:rsidRPr="009D44AA">
        <w:rPr>
          <w:sz w:val="20"/>
        </w:rPr>
        <w:t>https://www.constituteproject.org/constitution/Hungary_2011.pdf</w:t>
      </w:r>
    </w:p>
  </w:footnote>
  <w:footnote w:id="31">
    <w:p w14:paraId="61A3FB7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 xml:space="preserve">Машбат О, “Үндсэн хууль: Улс төр, эрх зүй, хянал-тэнцэл” УБ.,2015, 113 дахь тал. </w:t>
      </w:r>
    </w:p>
  </w:footnote>
  <w:footnote w:id="32">
    <w:p w14:paraId="6AF3139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Чимэд Б, “Үндсэн хуулийн мэдлэг” УБ.,2008, 290 дахь тал</w:t>
      </w:r>
    </w:p>
  </w:footnote>
  <w:footnote w:id="33">
    <w:p w14:paraId="0A429C4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Төртогтох Ж, “Парламент судлалын гарын авлага” УБ.,2010, 57 дахь тал</w:t>
      </w:r>
    </w:p>
  </w:footnote>
  <w:footnote w:id="34">
    <w:p w14:paraId="3871701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Лүндэндорж Н, “Монгол Улсын Үндсэн хууль, шинжлэх ухааны тайлбар” УБ.,2022, 717 дахь тал</w:t>
      </w:r>
    </w:p>
  </w:footnote>
  <w:footnote w:id="35">
    <w:p w14:paraId="72E6BDB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С</w:t>
      </w:r>
      <w:proofErr w:type="spellStart"/>
      <w:r w:rsidRPr="009D44AA">
        <w:rPr>
          <w:sz w:val="20"/>
        </w:rPr>
        <w:t>onstitution</w:t>
      </w:r>
      <w:proofErr w:type="spellEnd"/>
      <w:r w:rsidRPr="009D44AA">
        <w:rPr>
          <w:sz w:val="20"/>
        </w:rPr>
        <w:t xml:space="preserve"> of</w:t>
      </w:r>
      <w:r w:rsidRPr="009D44AA">
        <w:rPr>
          <w:sz w:val="20"/>
          <w:lang w:val="mn-MN"/>
        </w:rPr>
        <w:t xml:space="preserve">. </w:t>
      </w:r>
      <w:r w:rsidRPr="009D44AA">
        <w:rPr>
          <w:sz w:val="20"/>
        </w:rPr>
        <w:t>Japan</w:t>
      </w:r>
      <w:r w:rsidRPr="009D44AA">
        <w:rPr>
          <w:sz w:val="20"/>
          <w:lang w:val="mn-MN"/>
        </w:rPr>
        <w:t xml:space="preserve">. </w:t>
      </w:r>
      <w:r w:rsidRPr="009D44AA">
        <w:rPr>
          <w:bCs/>
          <w:color w:val="000000"/>
          <w:sz w:val="20"/>
        </w:rPr>
        <w:t>Article</w:t>
      </w:r>
      <w:r w:rsidRPr="009D44AA">
        <w:rPr>
          <w:bCs/>
          <w:color w:val="000000"/>
          <w:sz w:val="20"/>
          <w:lang w:val="mn-MN"/>
        </w:rPr>
        <w:t xml:space="preserve"> 6</w:t>
      </w:r>
      <w:r w:rsidRPr="009D44AA">
        <w:rPr>
          <w:bCs/>
          <w:color w:val="000000"/>
          <w:sz w:val="20"/>
        </w:rPr>
        <w:t>9.</w:t>
      </w:r>
      <w:r w:rsidRPr="009D44AA">
        <w:rPr>
          <w:bCs/>
          <w:color w:val="000000"/>
          <w:sz w:val="20"/>
          <w:lang w:val="mn-MN"/>
        </w:rPr>
        <w:t xml:space="preserve"> </w:t>
      </w:r>
      <w:r w:rsidRPr="009D44AA">
        <w:rPr>
          <w:sz w:val="20"/>
        </w:rPr>
        <w:t>https://japan.kantei.go.jp/constitution_and_government_of_japan/constitution_e.html</w:t>
      </w:r>
    </w:p>
  </w:footnote>
  <w:footnote w:id="36">
    <w:p w14:paraId="1909ADC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Мөн тэнд 716 дахь</w:t>
      </w:r>
    </w:p>
  </w:footnote>
  <w:footnote w:id="37">
    <w:p w14:paraId="235CE5C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ХБНГУ-ын Үндсэн хууль. 31 дахь тал. Орчуулсан Конрад Аденаурын сан. УБ.,2019</w:t>
      </w:r>
    </w:p>
  </w:footnote>
  <w:footnote w:id="38">
    <w:p w14:paraId="3DE85432"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r w:rsidRPr="009D44AA">
        <w:rPr>
          <w:sz w:val="20"/>
          <w:lang w:val="mn-MN"/>
        </w:rPr>
        <w:t>Мөн тэнд</w:t>
      </w:r>
    </w:p>
  </w:footnote>
  <w:footnote w:id="39">
    <w:p w14:paraId="14F2C58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Constitution of Greece</w:t>
      </w:r>
      <w:r w:rsidRPr="009D44AA">
        <w:rPr>
          <w:sz w:val="20"/>
          <w:lang w:val="mn-MN"/>
        </w:rPr>
        <w:t xml:space="preserve">. Article 32. </w:t>
      </w:r>
      <w:r w:rsidRPr="009D44AA">
        <w:rPr>
          <w:sz w:val="20"/>
        </w:rPr>
        <w:t>https://faolex.fao.org/docs/pdf/GRE135231.pdf</w:t>
      </w:r>
    </w:p>
  </w:footnote>
  <w:footnote w:id="40">
    <w:p w14:paraId="40908AD5"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Мөн тэнд</w:t>
      </w:r>
    </w:p>
  </w:footnote>
  <w:footnote w:id="41">
    <w:p w14:paraId="042AEF77"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Тус заалтыг “Парламент өөрөө тарах” хэсэгт тайлбарласан болно.</w:t>
      </w:r>
    </w:p>
  </w:footnote>
  <w:footnote w:id="42">
    <w:p w14:paraId="7E3152C9"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 xml:space="preserve">Монгол Улсын Үндсэн хуулийн 39.2. </w:t>
      </w:r>
      <w:r w:rsidRPr="009D44AA">
        <w:rPr>
          <w:sz w:val="20"/>
          <w:shd w:val="clear" w:color="auto" w:fill="FFFFFF"/>
          <w:lang w:val="mn-MN"/>
        </w:rPr>
        <w:t>Улсын Их Хуралд олонх суудал авсан нам, эвслээс нэр дэвшүүлсэн хүнийг; аль ч нам, эвсэл олонхын суудал аваагүй бол хамгийн олон суудал авсан нам, эвсэл бусад нам, эвсэлтэй зөвшилцөн олонхыг бүрдүүлж нэр дэвшүүлсэн хүнийг; бусад тохиолдолд Улсын Их Хуралд суудал авсан нам, эвсэл зөвшилцөн олонхийг бүрдүүлж нэр дэвшүүлсэн хүнийг Ерөнхий сайдаар томилох саналыг Ерөнхийлөгч тав хоногийн дотор Улсын Их Хуралд оруулна.</w:t>
      </w:r>
    </w:p>
  </w:footnote>
  <w:footnote w:id="43">
    <w:p w14:paraId="4541EFD1"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lang w:val="mn-MN"/>
        </w:rPr>
        <w:footnoteRef/>
      </w:r>
      <w:r w:rsidRPr="009D44AA">
        <w:rPr>
          <w:sz w:val="20"/>
          <w:lang w:val="mn-MN"/>
        </w:rPr>
        <w:t xml:space="preserve"> Монгол Улсын Үндсэн хуулийн </w:t>
      </w:r>
      <w:r w:rsidRPr="009D44AA">
        <w:rPr>
          <w:sz w:val="20"/>
          <w:shd w:val="clear" w:color="auto" w:fill="FFFFFF"/>
          <w:lang w:val="mn-MN"/>
        </w:rPr>
        <w:t>43.1.Улсын Их Хурлын гишүүдийн дөрөвний нэгээс доошгүй нь Ерөнхий сайдыг огцруулах саналыг албан ёсоор тавибал Улсын Их Хурал гурав хоногийн дараа хэлэлцэж эхлэн арав хоногийн дотор шийдвэрлэнэ. Улсын Их Хурлын нийт гишүүний олонхи уг саналыг дэмжсэн бол Ерөнхий сайдыг огцруулах тухай Улсын Их Хурлын тогтоол баталсанд тооцож, шинэ Ерөнхий сайдыг гуч хоногийн дотор томилно.</w:t>
      </w:r>
    </w:p>
  </w:footnote>
  <w:footnote w:id="44">
    <w:p w14:paraId="0D99F614"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 xml:space="preserve">Монгол Улсын Үндсэн хуулийн 44.1. </w:t>
      </w:r>
      <w:r w:rsidRPr="009D44AA">
        <w:rPr>
          <w:sz w:val="20"/>
          <w:shd w:val="clear" w:color="auto" w:fill="FFFFFF"/>
          <w:lang w:val="mn-MN"/>
        </w:rPr>
        <w:t>Ерөнхий сайд улсын төсвийн болон бодлогын тодорхой асуудлаар өөрт нь итгэл хүлээлгэх тогтоолын төслийг оруулбал Улсын Их Хурал гурав хоногийн дараа хэлэлцэж эхлэн арав хоногийн дотор Улсын Их Хурлын нийт гишүүний олонхын саналаар шийдвэрлэнэ.</w:t>
      </w:r>
    </w:p>
  </w:footnote>
  <w:footnote w:id="45">
    <w:p w14:paraId="668205E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4200D7">
        <w:rPr>
          <w:sz w:val="20"/>
          <w:lang w:val="mn-MN"/>
        </w:rPr>
        <w:t xml:space="preserve"> </w:t>
      </w:r>
      <w:r w:rsidRPr="009D44AA">
        <w:rPr>
          <w:sz w:val="20"/>
          <w:lang w:val="mn-MN"/>
        </w:rPr>
        <w:t>Монгол Улсын Үндсэн хуулийн 44.</w:t>
      </w:r>
      <w:r w:rsidRPr="009D44AA">
        <w:rPr>
          <w:sz w:val="20"/>
          <w:shd w:val="clear" w:color="auto" w:fill="FFFFFF"/>
          <w:lang w:val="mn-MN"/>
        </w:rPr>
        <w:t>2.Улсын Их Хурал тогтоолыг баталсан бол Ерөнхий сайдад итгэл үзүүлж, тухайн асуудлыг дэмжсэнд тооцно. Тогтоолыг батлаагүй бол Ерөнхий сайдыг огцорсонд тооцож, шинэ Ерөнхий сайдыг гуч хоногийн дотор томилно.</w:t>
      </w:r>
    </w:p>
  </w:footnote>
  <w:footnote w:id="46">
    <w:p w14:paraId="25284D73"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mn-MN"/>
        </w:rPr>
        <w:t>“Парламентын засаглалтай улс орнуудын төрийн эрх мэдлийн хуваарилалт, онцлог” сэдэвт судалгаа. Улсын Их Хурлын Тамгын газрын судалгаа, мэдээлэл, лавлагааны алба 2017</w:t>
      </w:r>
    </w:p>
    <w:p w14:paraId="162FFDE9" w14:textId="77777777" w:rsidR="00EE16ED" w:rsidRPr="009D44AA" w:rsidRDefault="00EE16ED" w:rsidP="003020A5">
      <w:pPr>
        <w:pStyle w:val="FootnoteText"/>
        <w:spacing w:before="0" w:line="240" w:lineRule="auto"/>
        <w:jc w:val="both"/>
        <w:rPr>
          <w:sz w:val="20"/>
          <w:lang w:val="mn-M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25D8"/>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1913"/>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3</TotalTime>
  <Pages>14</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2026-04-18T13:12:00Z</dcterms:created>
  <dcterms:modified xsi:type="dcterms:W3CDTF">2026-04-18T13:12:00Z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